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FB9E" w14:textId="6749CA6D" w:rsidR="260E9411" w:rsidRPr="008B086D" w:rsidRDefault="260E9411" w:rsidP="00DE7B0B">
      <w:pPr>
        <w:spacing w:after="0" w:line="240" w:lineRule="auto"/>
        <w:jc w:val="center"/>
        <w:rPr>
          <w:rFonts w:ascii="Gill Sans MT" w:eastAsia="Gill Sans MT" w:hAnsi="Gill Sans MT" w:cs="Gill Sans MT"/>
          <w:lang w:val="en-GB"/>
        </w:rPr>
      </w:pPr>
      <w:r w:rsidRPr="008B086D">
        <w:rPr>
          <w:rFonts w:ascii="Gill Sans MT" w:hAnsi="Gill Sans MT"/>
          <w:noProof/>
          <w:lang w:val="en-GB"/>
        </w:rPr>
        <w:drawing>
          <wp:inline distT="0" distB="0" distL="0" distR="0" wp14:anchorId="2440A0E5" wp14:editId="5821F632">
            <wp:extent cx="3905250" cy="933450"/>
            <wp:effectExtent l="0" t="0" r="0" b="0"/>
            <wp:docPr id="1180200347" name="drawi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00347" name=""/>
                    <pic:cNvPicPr/>
                  </pic:nvPicPr>
                  <pic:blipFill>
                    <a:blip r:embed="rId7">
                      <a:extLst>
                        <a:ext uri="{28A0092B-C50C-407E-A947-70E740481C1C}">
                          <a14:useLocalDpi xmlns:a14="http://schemas.microsoft.com/office/drawing/2010/main" val="0"/>
                        </a:ext>
                      </a:extLst>
                    </a:blip>
                    <a:stretch>
                      <a:fillRect/>
                    </a:stretch>
                  </pic:blipFill>
                  <pic:spPr>
                    <a:xfrm>
                      <a:off x="0" y="0"/>
                      <a:ext cx="3905250" cy="933450"/>
                    </a:xfrm>
                    <a:prstGeom prst="rect">
                      <a:avLst/>
                    </a:prstGeom>
                  </pic:spPr>
                </pic:pic>
              </a:graphicData>
            </a:graphic>
          </wp:inline>
        </w:drawing>
      </w:r>
    </w:p>
    <w:p w14:paraId="0DB49B8E" w14:textId="77777777" w:rsidR="00DE7B0B" w:rsidRPr="008B086D" w:rsidRDefault="00DE7B0B" w:rsidP="00DE7B0B">
      <w:pPr>
        <w:spacing w:after="0" w:line="240" w:lineRule="auto"/>
        <w:jc w:val="both"/>
        <w:rPr>
          <w:rFonts w:ascii="Gill Sans MT" w:eastAsia="Gill Sans MT" w:hAnsi="Gill Sans MT" w:cs="Gill Sans MT"/>
          <w:caps/>
          <w:lang w:val="en-GB"/>
        </w:rPr>
      </w:pPr>
    </w:p>
    <w:p w14:paraId="41224B42" w14:textId="77777777" w:rsidR="00DE7B0B" w:rsidRPr="008B086D" w:rsidRDefault="00DE7B0B" w:rsidP="00DE7B0B">
      <w:pPr>
        <w:spacing w:after="0" w:line="240" w:lineRule="auto"/>
        <w:jc w:val="both"/>
        <w:rPr>
          <w:rFonts w:ascii="Gill Sans MT" w:eastAsia="Gill Sans MT" w:hAnsi="Gill Sans MT" w:cs="Gill Sans MT"/>
          <w:caps/>
          <w:lang w:val="en-GB"/>
        </w:rPr>
      </w:pPr>
    </w:p>
    <w:p w14:paraId="01CBFD8A" w14:textId="6E964809" w:rsidR="00512749" w:rsidRPr="008B086D" w:rsidRDefault="00512749" w:rsidP="00DE7B0B">
      <w:pPr>
        <w:spacing w:after="0" w:line="240" w:lineRule="auto"/>
        <w:jc w:val="both"/>
        <w:rPr>
          <w:rFonts w:ascii="Gill Sans MT" w:hAnsi="Gill Sans MT"/>
          <w:caps/>
          <w:color w:val="544948"/>
          <w:sz w:val="28"/>
          <w:szCs w:val="28"/>
          <w:shd w:val="clear" w:color="auto" w:fill="FFFFFF"/>
          <w:lang w:val="en-GB"/>
        </w:rPr>
      </w:pPr>
      <w:r w:rsidRPr="008B086D">
        <w:rPr>
          <w:rFonts w:ascii="Gill Sans MT" w:eastAsia="Gill Sans MT" w:hAnsi="Gill Sans MT" w:cs="Gill Sans MT"/>
          <w:b/>
          <w:bCs/>
          <w:caps/>
          <w:sz w:val="28"/>
          <w:szCs w:val="28"/>
          <w:lang w:val="en-GB"/>
        </w:rPr>
        <w:t>Natalia Gutkowski.</w:t>
      </w:r>
      <w:r w:rsidRPr="008B086D">
        <w:rPr>
          <w:rFonts w:ascii="Gill Sans MT" w:eastAsia="Gill Sans MT" w:hAnsi="Gill Sans MT" w:cs="Gill Sans MT"/>
          <w:caps/>
          <w:sz w:val="28"/>
          <w:szCs w:val="28"/>
          <w:lang w:val="en-GB"/>
        </w:rPr>
        <w:t xml:space="preserve"> </w:t>
      </w:r>
      <w:r w:rsidR="006964D4" w:rsidRPr="008B086D">
        <w:rPr>
          <w:rFonts w:ascii="Gill Sans MT" w:eastAsia="Gill Sans MT" w:hAnsi="Gill Sans MT" w:cs="Gill Sans MT"/>
          <w:i/>
          <w:iCs/>
          <w:caps/>
          <w:sz w:val="28"/>
          <w:szCs w:val="28"/>
          <w:lang w:val="en-GB"/>
        </w:rPr>
        <w:t>Struggling for Time: Environmental Governance and Agrarian Resistance in Israel/Palestin</w:t>
      </w:r>
      <w:r w:rsidR="006964D4" w:rsidRPr="008B086D">
        <w:rPr>
          <w:rFonts w:ascii="Gill Sans MT" w:eastAsia="Gill Sans MT" w:hAnsi="Gill Sans MT" w:cs="Gill Sans MT"/>
          <w:caps/>
          <w:sz w:val="28"/>
          <w:szCs w:val="28"/>
          <w:lang w:val="en-GB"/>
        </w:rPr>
        <w:t>e</w:t>
      </w:r>
      <w:r w:rsidRPr="008B086D">
        <w:rPr>
          <w:rFonts w:ascii="Gill Sans MT" w:eastAsia="Gill Sans MT" w:hAnsi="Gill Sans MT" w:cs="Gill Sans MT"/>
          <w:caps/>
          <w:sz w:val="28"/>
          <w:szCs w:val="28"/>
          <w:lang w:val="en-GB"/>
        </w:rPr>
        <w:t>.</w:t>
      </w:r>
      <w:r w:rsidR="006964D4" w:rsidRPr="008B086D">
        <w:rPr>
          <w:rFonts w:ascii="Gill Sans MT" w:eastAsia="Gill Sans MT" w:hAnsi="Gill Sans MT" w:cs="Gill Sans MT"/>
          <w:caps/>
          <w:sz w:val="28"/>
          <w:szCs w:val="28"/>
          <w:lang w:val="en-GB"/>
        </w:rPr>
        <w:t xml:space="preserve"> Stanford</w:t>
      </w:r>
      <w:r w:rsidR="00DE7B0B" w:rsidRPr="008B086D">
        <w:rPr>
          <w:rFonts w:ascii="Gill Sans MT" w:eastAsia="Gill Sans MT" w:hAnsi="Gill Sans MT" w:cs="Gill Sans MT"/>
          <w:caps/>
          <w:sz w:val="28"/>
          <w:szCs w:val="28"/>
          <w:lang w:val="en-GB"/>
        </w:rPr>
        <w:t>: Stanford</w:t>
      </w:r>
      <w:r w:rsidR="006964D4" w:rsidRPr="008B086D">
        <w:rPr>
          <w:rFonts w:ascii="Gill Sans MT" w:eastAsia="Gill Sans MT" w:hAnsi="Gill Sans MT" w:cs="Gill Sans MT"/>
          <w:caps/>
          <w:sz w:val="28"/>
          <w:szCs w:val="28"/>
          <w:lang w:val="en-GB"/>
        </w:rPr>
        <w:t xml:space="preserve"> University Press 2024</w:t>
      </w:r>
      <w:r w:rsidR="00DE7B0B" w:rsidRPr="008B086D">
        <w:rPr>
          <w:rFonts w:ascii="Gill Sans MT" w:eastAsia="Gill Sans MT" w:hAnsi="Gill Sans MT" w:cs="Gill Sans MT"/>
          <w:caps/>
          <w:sz w:val="28"/>
          <w:szCs w:val="28"/>
          <w:lang w:val="en-GB"/>
        </w:rPr>
        <w:t>.</w:t>
      </w:r>
      <w:r w:rsidRPr="008B086D">
        <w:rPr>
          <w:rFonts w:ascii="Gill Sans MT" w:eastAsia="Gill Sans MT" w:hAnsi="Gill Sans MT" w:cs="Gill Sans MT"/>
          <w:caps/>
          <w:sz w:val="28"/>
          <w:szCs w:val="28"/>
          <w:lang w:val="en-GB"/>
        </w:rPr>
        <w:t xml:space="preserve"> 336 </w:t>
      </w:r>
      <w:r w:rsidRPr="008B086D">
        <w:rPr>
          <w:rFonts w:ascii="Gill Sans MT" w:eastAsia="Gill Sans MT" w:hAnsi="Gill Sans MT" w:cs="Gill Sans MT"/>
          <w:caps/>
          <w:sz w:val="28"/>
          <w:szCs w:val="28"/>
          <w:lang w:val="en-GB" w:eastAsia="ja-JP"/>
        </w:rPr>
        <w:t>P. ISBN: 9781503636828</w:t>
      </w:r>
      <w:r w:rsidRPr="008B086D">
        <w:rPr>
          <w:rFonts w:ascii="Gill Sans MT" w:hAnsi="Gill Sans MT"/>
          <w:caps/>
          <w:color w:val="544948"/>
          <w:sz w:val="28"/>
          <w:szCs w:val="28"/>
          <w:shd w:val="clear" w:color="auto" w:fill="FFFFFF"/>
          <w:lang w:val="en-GB"/>
        </w:rPr>
        <w:t xml:space="preserve"> </w:t>
      </w:r>
    </w:p>
    <w:p w14:paraId="0177E704" w14:textId="09CA5900" w:rsidR="00512749" w:rsidRPr="008B086D" w:rsidRDefault="00512749" w:rsidP="00DE7B0B">
      <w:pPr>
        <w:spacing w:after="0" w:line="240" w:lineRule="auto"/>
        <w:jc w:val="both"/>
        <w:rPr>
          <w:rFonts w:ascii="Gill Sans MT" w:eastAsia="Calibri" w:hAnsi="Gill Sans MT" w:cs="Calibri"/>
          <w:caps/>
          <w:color w:val="000000"/>
          <w:lang w:val="en-GB"/>
        </w:rPr>
      </w:pPr>
    </w:p>
    <w:p w14:paraId="116E0F3C" w14:textId="77777777" w:rsidR="00512749" w:rsidRPr="008B086D" w:rsidRDefault="00512749" w:rsidP="00DE7B0B">
      <w:pPr>
        <w:spacing w:after="0" w:line="240" w:lineRule="auto"/>
        <w:jc w:val="center"/>
        <w:rPr>
          <w:rFonts w:ascii="Gill Sans MT" w:hAnsi="Gill Sans MT" w:cs="Arial"/>
          <w:sz w:val="20"/>
          <w:szCs w:val="20"/>
          <w:lang w:val="en-GB"/>
        </w:rPr>
      </w:pPr>
      <w:r w:rsidRPr="008B086D">
        <w:rPr>
          <w:rFonts w:ascii="Gill Sans MT" w:hAnsi="Gill Sans MT" w:cs="Arial"/>
          <w:caps/>
          <w:sz w:val="28"/>
          <w:szCs w:val="28"/>
          <w:lang w:val="en-GB"/>
        </w:rPr>
        <w:t>Sacha Mouzin</w:t>
      </w:r>
      <w:r w:rsidRPr="008B086D">
        <w:rPr>
          <w:rStyle w:val="FootnoteReference"/>
          <w:rFonts w:ascii="Gill Sans MT" w:hAnsi="Gill Sans MT" w:cs="Arial"/>
          <w:caps/>
          <w:sz w:val="28"/>
          <w:szCs w:val="28"/>
          <w:lang w:val="en-GB"/>
        </w:rPr>
        <w:footnoteReference w:id="1"/>
      </w:r>
    </w:p>
    <w:p w14:paraId="48C1D7B6" w14:textId="77777777" w:rsidR="00512749" w:rsidRPr="008B086D" w:rsidRDefault="00512749" w:rsidP="00DE7B0B">
      <w:pPr>
        <w:spacing w:after="0" w:line="240" w:lineRule="auto"/>
        <w:jc w:val="center"/>
        <w:rPr>
          <w:rFonts w:ascii="Gill Sans MT" w:hAnsi="Gill Sans MT" w:cs="Arial"/>
          <w:lang w:val="en-GB"/>
        </w:rPr>
      </w:pPr>
    </w:p>
    <w:p w14:paraId="1065D089" w14:textId="77777777" w:rsidR="00512749" w:rsidRPr="008B086D" w:rsidRDefault="00512749" w:rsidP="00DE7B0B">
      <w:pPr>
        <w:spacing w:after="0" w:line="240" w:lineRule="auto"/>
        <w:jc w:val="center"/>
        <w:rPr>
          <w:rFonts w:ascii="Gill Sans MT" w:hAnsi="Gill Sans MT" w:cs="Arial"/>
          <w:lang w:val="en-GB"/>
        </w:rPr>
      </w:pPr>
    </w:p>
    <w:p w14:paraId="70FA5A30" w14:textId="7F0E877E" w:rsidR="00512749" w:rsidRPr="008B086D" w:rsidRDefault="006964D4" w:rsidP="00DE7B0B">
      <w:pPr>
        <w:spacing w:after="0" w:line="240" w:lineRule="auto"/>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 xml:space="preserve">Natalia Gutkowski’s </w:t>
      </w:r>
      <w:r w:rsidRPr="008B086D">
        <w:rPr>
          <w:rFonts w:ascii="Gill Sans MT" w:eastAsia="Gill Sans MT" w:hAnsi="Gill Sans MT" w:cs="Gill Sans MT"/>
          <w:i/>
          <w:iCs/>
          <w:kern w:val="0"/>
          <w:lang w:val="en-GB"/>
          <w14:ligatures w14:val="none"/>
        </w:rPr>
        <w:t xml:space="preserve">Struggling for </w:t>
      </w:r>
      <w:r w:rsidR="00DE7B0B" w:rsidRPr="008B086D">
        <w:rPr>
          <w:rFonts w:ascii="Gill Sans MT" w:eastAsia="Gill Sans MT" w:hAnsi="Gill Sans MT" w:cs="Gill Sans MT"/>
          <w:i/>
          <w:iCs/>
          <w:kern w:val="0"/>
          <w:lang w:val="en-GB"/>
          <w14:ligatures w14:val="none"/>
        </w:rPr>
        <w:t>t</w:t>
      </w:r>
      <w:r w:rsidRPr="008B086D">
        <w:rPr>
          <w:rFonts w:ascii="Gill Sans MT" w:eastAsia="Gill Sans MT" w:hAnsi="Gill Sans MT" w:cs="Gill Sans MT"/>
          <w:i/>
          <w:iCs/>
          <w:kern w:val="0"/>
          <w:lang w:val="en-GB"/>
          <w14:ligatures w14:val="none"/>
        </w:rPr>
        <w:t>ime</w:t>
      </w:r>
      <w:r w:rsidRPr="008B086D">
        <w:rPr>
          <w:rFonts w:ascii="Gill Sans MT" w:eastAsia="Gill Sans MT" w:hAnsi="Gill Sans MT" w:cs="Gill Sans MT"/>
          <w:kern w:val="0"/>
          <w:lang w:val="en-GB"/>
          <w14:ligatures w14:val="none"/>
        </w:rPr>
        <w:t xml:space="preserve"> advances a compelling</w:t>
      </w:r>
      <w:r w:rsidR="008779AC"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shift</w:t>
      </w:r>
      <w:r w:rsidR="00652E14"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 xml:space="preserve">from </w:t>
      </w:r>
      <w:r w:rsidR="00E366B8" w:rsidRPr="008B086D">
        <w:rPr>
          <w:rFonts w:ascii="Gill Sans MT" w:eastAsia="Gill Sans MT" w:hAnsi="Gill Sans MT" w:cs="Gill Sans MT"/>
          <w:kern w:val="0"/>
          <w:lang w:val="en-GB"/>
          <w14:ligatures w14:val="none"/>
        </w:rPr>
        <w:t xml:space="preserve">the </w:t>
      </w:r>
      <w:r w:rsidRPr="008B086D">
        <w:rPr>
          <w:rFonts w:ascii="Gill Sans MT" w:eastAsia="Gill Sans MT" w:hAnsi="Gill Sans MT" w:cs="Gill Sans MT"/>
          <w:kern w:val="0"/>
          <w:lang w:val="en-GB"/>
          <w14:ligatures w14:val="none"/>
        </w:rPr>
        <w:t>spatial focus of settler colonial studies to the temporal</w:t>
      </w:r>
      <w:r w:rsidR="00652E14" w:rsidRPr="008B086D">
        <w:rPr>
          <w:rFonts w:ascii="Gill Sans MT" w:eastAsia="Gill Sans MT" w:hAnsi="Gill Sans MT" w:cs="Gill Sans MT"/>
          <w:kern w:val="0"/>
          <w:lang w:val="en-GB"/>
          <w14:ligatures w14:val="none"/>
        </w:rPr>
        <w:t xml:space="preserve"> </w:t>
      </w:r>
      <w:r w:rsidR="00D159BF" w:rsidRPr="008B086D">
        <w:rPr>
          <w:rFonts w:ascii="Gill Sans MT" w:eastAsia="Gill Sans MT" w:hAnsi="Gill Sans MT" w:cs="Gill Sans MT"/>
          <w:kern w:val="0"/>
          <w:lang w:val="en-GB"/>
          <w14:ligatures w14:val="none"/>
        </w:rPr>
        <w:t>frameworks</w:t>
      </w:r>
      <w:r w:rsidR="00F2568D"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through which agrarian governance operates in Israel/Palestine.</w:t>
      </w:r>
      <w:r w:rsidR="00DE7B0B" w:rsidRPr="008B086D">
        <w:rPr>
          <w:rFonts w:ascii="Gill Sans MT" w:eastAsia="Gill Sans MT" w:hAnsi="Gill Sans MT" w:cs="Gill Sans MT"/>
          <w:kern w:val="0"/>
          <w:lang w:val="en-GB"/>
          <w14:ligatures w14:val="none"/>
        </w:rPr>
        <w:t xml:space="preserve"> </w:t>
      </w:r>
      <w:r w:rsidR="00DE7B0B" w:rsidRPr="008B086D">
        <w:rPr>
          <w:rFonts w:ascii="Gill Sans MT" w:hAnsi="Gill Sans MT" w:cs="Times New Roman"/>
          <w:lang w:val="en-GB"/>
        </w:rPr>
        <w:t>Israel is placed first in the book to refer to, in the words of the author, the ‘1948 borders of the Israeli state or historic mandatory Palestine excluding Gaza and the West Bank’ (2024: 1).</w:t>
      </w:r>
      <w:r w:rsidRPr="008B086D">
        <w:rPr>
          <w:rFonts w:ascii="Gill Sans MT" w:eastAsia="Gill Sans MT" w:hAnsi="Gill Sans MT" w:cs="Gill Sans MT"/>
          <w:kern w:val="0"/>
          <w:lang w:val="en-GB"/>
          <w14:ligatures w14:val="none"/>
        </w:rPr>
        <w:t xml:space="preserve"> Drawing </w:t>
      </w:r>
      <w:r w:rsidR="00897B4E" w:rsidRPr="008B086D">
        <w:rPr>
          <w:rFonts w:ascii="Gill Sans MT" w:eastAsia="Gill Sans MT" w:hAnsi="Gill Sans MT" w:cs="Gill Sans MT"/>
          <w:kern w:val="0"/>
          <w:lang w:val="en-GB"/>
          <w14:ligatures w14:val="none"/>
        </w:rPr>
        <w:t xml:space="preserve">upon interviews with </w:t>
      </w:r>
      <w:r w:rsidR="00A81BDA" w:rsidRPr="008B086D">
        <w:rPr>
          <w:rFonts w:ascii="Gill Sans MT" w:eastAsia="Gill Sans MT" w:hAnsi="Gill Sans MT" w:cs="Gill Sans MT"/>
          <w:kern w:val="0"/>
          <w:lang w:val="en-GB"/>
          <w14:ligatures w14:val="none"/>
        </w:rPr>
        <w:t>state planners</w:t>
      </w:r>
      <w:r w:rsidR="00694C17" w:rsidRPr="008B086D">
        <w:rPr>
          <w:rFonts w:ascii="Gill Sans MT" w:eastAsia="Gill Sans MT" w:hAnsi="Gill Sans MT" w:cs="Gill Sans MT"/>
          <w:kern w:val="0"/>
          <w:lang w:val="en-GB"/>
          <w14:ligatures w14:val="none"/>
        </w:rPr>
        <w:t xml:space="preserve"> in different ministries</w:t>
      </w:r>
      <w:r w:rsidR="00E21154" w:rsidRPr="008B086D">
        <w:rPr>
          <w:rFonts w:ascii="Gill Sans MT" w:eastAsia="Gill Sans MT" w:hAnsi="Gill Sans MT" w:cs="Gill Sans MT"/>
          <w:kern w:val="0"/>
          <w:lang w:val="en-GB"/>
          <w14:ligatures w14:val="none"/>
        </w:rPr>
        <w:t xml:space="preserve"> (notably the Ministries of Agriculture and Interior)</w:t>
      </w:r>
      <w:r w:rsidR="00A81BDA" w:rsidRPr="008B086D">
        <w:rPr>
          <w:rFonts w:ascii="Gill Sans MT" w:eastAsia="Gill Sans MT" w:hAnsi="Gill Sans MT" w:cs="Gill Sans MT"/>
          <w:kern w:val="0"/>
          <w:lang w:val="en-GB"/>
          <w14:ligatures w14:val="none"/>
        </w:rPr>
        <w:t xml:space="preserve">, conservation ecologists </w:t>
      </w:r>
      <w:r w:rsidRPr="008B086D">
        <w:rPr>
          <w:rFonts w:ascii="Gill Sans MT" w:eastAsia="Gill Sans MT" w:hAnsi="Gill Sans MT" w:cs="Gill Sans MT"/>
          <w:kern w:val="0"/>
          <w:lang w:val="en-GB"/>
          <w14:ligatures w14:val="none"/>
        </w:rPr>
        <w:t xml:space="preserve">and Palestinian </w:t>
      </w:r>
      <w:r w:rsidR="00C04647" w:rsidRPr="008B086D">
        <w:rPr>
          <w:rFonts w:ascii="Gill Sans MT" w:eastAsia="Gill Sans MT" w:hAnsi="Gill Sans MT" w:cs="Gill Sans MT"/>
          <w:kern w:val="0"/>
          <w:lang w:val="en-GB"/>
          <w14:ligatures w14:val="none"/>
        </w:rPr>
        <w:t xml:space="preserve">agronomists </w:t>
      </w:r>
      <w:r w:rsidR="00652E14" w:rsidRPr="008B086D">
        <w:rPr>
          <w:rFonts w:ascii="Gill Sans MT" w:eastAsia="Gill Sans MT" w:hAnsi="Gill Sans MT" w:cs="Gill Sans MT"/>
          <w:kern w:val="0"/>
          <w:lang w:val="en-GB"/>
          <w14:ligatures w14:val="none"/>
        </w:rPr>
        <w:t xml:space="preserve">in the 1948 state of Israel, </w:t>
      </w:r>
      <w:r w:rsidRPr="008B086D">
        <w:rPr>
          <w:rFonts w:ascii="Gill Sans MT" w:eastAsia="Gill Sans MT" w:hAnsi="Gill Sans MT" w:cs="Gill Sans MT"/>
          <w:kern w:val="0"/>
          <w:lang w:val="en-GB"/>
          <w14:ligatures w14:val="none"/>
        </w:rPr>
        <w:t xml:space="preserve">the book argues that </w:t>
      </w:r>
      <w:r w:rsidR="009E3959" w:rsidRPr="008B086D">
        <w:rPr>
          <w:rFonts w:ascii="Gill Sans MT" w:eastAsia="Gill Sans MT" w:hAnsi="Gill Sans MT" w:cs="Gill Sans MT"/>
          <w:kern w:val="0"/>
          <w:lang w:val="en-GB"/>
          <w14:ligatures w14:val="none"/>
        </w:rPr>
        <w:t xml:space="preserve">the Israeli </w:t>
      </w:r>
      <w:r w:rsidRPr="008B086D">
        <w:rPr>
          <w:rFonts w:ascii="Gill Sans MT" w:eastAsia="Gill Sans MT" w:hAnsi="Gill Sans MT" w:cs="Gill Sans MT"/>
          <w:kern w:val="0"/>
          <w:lang w:val="en-GB"/>
          <w14:ligatures w14:val="none"/>
        </w:rPr>
        <w:t xml:space="preserve">state </w:t>
      </w:r>
      <w:r w:rsidR="00F352B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settles time</w:t>
      </w:r>
      <w:r w:rsidR="00F352B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 xml:space="preserve"> as much as it occupies land</w:t>
      </w:r>
      <w:r w:rsidR="007D5DAB"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calibrating</w:t>
      </w:r>
      <w:r w:rsidR="00547A15" w:rsidRPr="008B086D">
        <w:rPr>
          <w:rFonts w:ascii="Gill Sans MT" w:eastAsia="Gill Sans MT" w:hAnsi="Gill Sans MT" w:cs="Gill Sans MT"/>
          <w:kern w:val="0"/>
          <w:lang w:val="en-GB"/>
          <w14:ligatures w14:val="none"/>
        </w:rPr>
        <w:t xml:space="preserve"> </w:t>
      </w:r>
      <w:r w:rsidR="00FD0990" w:rsidRPr="008B086D">
        <w:rPr>
          <w:rFonts w:ascii="Gill Sans MT" w:eastAsia="Gill Sans MT" w:hAnsi="Gill Sans MT" w:cs="Gill Sans MT"/>
          <w:kern w:val="0"/>
          <w:lang w:val="en-GB"/>
          <w14:ligatures w14:val="none"/>
        </w:rPr>
        <w:t>durations</w:t>
      </w:r>
      <w:r w:rsidR="00547A15" w:rsidRPr="008B086D">
        <w:rPr>
          <w:rFonts w:ascii="Gill Sans MT" w:eastAsia="Gill Sans MT" w:hAnsi="Gill Sans MT" w:cs="Gill Sans MT"/>
          <w:kern w:val="0"/>
          <w:lang w:val="en-GB"/>
          <w14:ligatures w14:val="none"/>
        </w:rPr>
        <w:t xml:space="preserve"> from</w:t>
      </w:r>
      <w:r w:rsidRPr="008B086D">
        <w:rPr>
          <w:rFonts w:ascii="Gill Sans MT" w:eastAsia="Gill Sans MT" w:hAnsi="Gill Sans MT" w:cs="Gill Sans MT"/>
          <w:kern w:val="0"/>
          <w:lang w:val="en-GB"/>
          <w14:ligatures w14:val="none"/>
        </w:rPr>
        <w:t xml:space="preserve"> bureaucratic rhythms</w:t>
      </w:r>
      <w:r w:rsidR="00547A15" w:rsidRPr="008B086D">
        <w:rPr>
          <w:rFonts w:ascii="Gill Sans MT" w:eastAsia="Gill Sans MT" w:hAnsi="Gill Sans MT" w:cs="Gill Sans MT"/>
          <w:kern w:val="0"/>
          <w:lang w:val="en-GB"/>
          <w14:ligatures w14:val="none"/>
        </w:rPr>
        <w:t xml:space="preserve"> to</w:t>
      </w:r>
      <w:r w:rsidR="00484559" w:rsidRPr="008B086D">
        <w:rPr>
          <w:rFonts w:ascii="Gill Sans MT" w:eastAsia="Gill Sans MT" w:hAnsi="Gill Sans MT" w:cs="Gill Sans MT"/>
          <w:kern w:val="0"/>
          <w:lang w:val="en-GB"/>
          <w14:ligatures w14:val="none"/>
        </w:rPr>
        <w:t xml:space="preserve"> </w:t>
      </w:r>
      <w:r w:rsidR="00931210" w:rsidRPr="008B086D">
        <w:rPr>
          <w:rFonts w:ascii="Gill Sans MT" w:eastAsia="Gill Sans MT" w:hAnsi="Gill Sans MT" w:cs="Gill Sans MT"/>
          <w:kern w:val="0"/>
          <w:lang w:val="en-GB"/>
          <w14:ligatures w14:val="none"/>
        </w:rPr>
        <w:t xml:space="preserve">the lifetime of </w:t>
      </w:r>
      <w:r w:rsidR="00AF58FC" w:rsidRPr="008B086D">
        <w:rPr>
          <w:rFonts w:ascii="Gill Sans MT" w:eastAsia="Gill Sans MT" w:hAnsi="Gill Sans MT" w:cs="Gill Sans MT"/>
          <w:kern w:val="0"/>
          <w:lang w:val="en-GB"/>
          <w14:ligatures w14:val="none"/>
        </w:rPr>
        <w:t>olive trees</w:t>
      </w:r>
      <w:r w:rsidR="004D0E54"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 xml:space="preserve">The concept of a </w:t>
      </w:r>
      <w:r w:rsidR="00F352B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time grab</w:t>
      </w:r>
      <w:r w:rsidR="00F352B7" w:rsidRPr="008B086D">
        <w:rPr>
          <w:rFonts w:ascii="Gill Sans MT" w:eastAsia="Gill Sans MT" w:hAnsi="Gill Sans MT" w:cs="Gill Sans MT"/>
          <w:kern w:val="0"/>
          <w:lang w:val="en-GB"/>
          <w14:ligatures w14:val="none"/>
        </w:rPr>
        <w:t>’</w:t>
      </w:r>
      <w:r w:rsidR="000B5565"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 xml:space="preserve">justified in the name of past heritage or </w:t>
      </w:r>
      <w:r w:rsidR="000B5565" w:rsidRPr="008B086D">
        <w:rPr>
          <w:rFonts w:ascii="Gill Sans MT" w:eastAsia="Gill Sans MT" w:hAnsi="Gill Sans MT" w:cs="Gill Sans MT"/>
          <w:kern w:val="0"/>
          <w:lang w:val="en-GB"/>
          <w14:ligatures w14:val="none"/>
        </w:rPr>
        <w:t>agrarian future</w:t>
      </w:r>
      <w:r w:rsidR="00694C17" w:rsidRPr="008B086D">
        <w:rPr>
          <w:rFonts w:ascii="Gill Sans MT" w:eastAsia="Gill Sans MT" w:hAnsi="Gill Sans MT" w:cs="Gill Sans MT"/>
          <w:kern w:val="0"/>
          <w:lang w:val="en-GB"/>
          <w14:ligatures w14:val="none"/>
        </w:rPr>
        <w:t>,</w:t>
      </w:r>
      <w:r w:rsidR="000B5565"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anchors the analysis</w:t>
      </w:r>
      <w:r w:rsidR="004D0E54" w:rsidRPr="008B086D">
        <w:rPr>
          <w:rFonts w:ascii="Gill Sans MT" w:eastAsia="Gill Sans MT" w:hAnsi="Gill Sans MT" w:cs="Gill Sans MT"/>
          <w:kern w:val="0"/>
          <w:lang w:val="en-GB"/>
          <w14:ligatures w14:val="none"/>
        </w:rPr>
        <w:t xml:space="preserve">. </w:t>
      </w:r>
      <w:r w:rsidR="008A29E9" w:rsidRPr="008B086D">
        <w:rPr>
          <w:rFonts w:ascii="Gill Sans MT" w:eastAsia="Gill Sans MT" w:hAnsi="Gill Sans MT" w:cs="Gill Sans MT"/>
          <w:kern w:val="0"/>
          <w:lang w:val="en-GB"/>
          <w14:ligatures w14:val="none"/>
        </w:rPr>
        <w:t xml:space="preserve"> </w:t>
      </w:r>
    </w:p>
    <w:p w14:paraId="4C3E6E46" w14:textId="721A1E90" w:rsidR="00DE7B0B" w:rsidRPr="008B086D" w:rsidRDefault="00541970"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 xml:space="preserve">Methodologically, the book is a state-system ethnography within Israel’s 1948 borders, built </w:t>
      </w:r>
      <w:r w:rsidR="00E21154" w:rsidRPr="008B086D">
        <w:rPr>
          <w:rFonts w:ascii="Gill Sans MT" w:eastAsia="Gill Sans MT" w:hAnsi="Gill Sans MT" w:cs="Gill Sans MT"/>
          <w:kern w:val="0"/>
          <w:lang w:val="en-GB"/>
          <w14:ligatures w14:val="none"/>
        </w:rPr>
        <w:t>upon m</w:t>
      </w:r>
      <w:r w:rsidRPr="008B086D">
        <w:rPr>
          <w:rFonts w:ascii="Gill Sans MT" w:eastAsia="Gill Sans MT" w:hAnsi="Gill Sans MT" w:cs="Gill Sans MT"/>
          <w:kern w:val="0"/>
          <w:lang w:val="en-GB"/>
          <w14:ligatures w14:val="none"/>
        </w:rPr>
        <w:t>ulti-sited fieldwork (2012</w:t>
      </w:r>
      <w:r w:rsidR="00FD76F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 xml:space="preserve">2015) </w:t>
      </w:r>
      <w:r w:rsidR="00E21154" w:rsidRPr="008B086D">
        <w:rPr>
          <w:rFonts w:ascii="Gill Sans MT" w:eastAsia="Gill Sans MT" w:hAnsi="Gill Sans MT" w:cs="Gill Sans MT"/>
          <w:kern w:val="0"/>
          <w:lang w:val="en-GB"/>
          <w14:ligatures w14:val="none"/>
        </w:rPr>
        <w:t xml:space="preserve">that </w:t>
      </w:r>
      <w:r w:rsidRPr="008B086D">
        <w:rPr>
          <w:rFonts w:ascii="Gill Sans MT" w:eastAsia="Gill Sans MT" w:hAnsi="Gill Sans MT" w:cs="Gill Sans MT"/>
          <w:kern w:val="0"/>
          <w:lang w:val="en-GB"/>
          <w14:ligatures w14:val="none"/>
        </w:rPr>
        <w:t xml:space="preserve">sits atop roughly fifteen years of engagement with local agrarian </w:t>
      </w:r>
      <w:r w:rsidR="000F5815" w:rsidRPr="008B086D">
        <w:rPr>
          <w:rFonts w:ascii="Gill Sans MT" w:eastAsia="Gill Sans MT" w:hAnsi="Gill Sans MT" w:cs="Gill Sans MT"/>
          <w:kern w:val="0"/>
          <w:lang w:val="en-GB"/>
          <w14:ligatures w14:val="none"/>
        </w:rPr>
        <w:t>environments</w:t>
      </w:r>
      <w:r w:rsidRPr="008B086D">
        <w:rPr>
          <w:rFonts w:ascii="Gill Sans MT" w:eastAsia="Gill Sans MT" w:hAnsi="Gill Sans MT" w:cs="Gill Sans MT"/>
          <w:kern w:val="0"/>
          <w:lang w:val="en-GB"/>
          <w14:ligatures w14:val="none"/>
        </w:rPr>
        <w:t xml:space="preserve">. The author’s positionality </w:t>
      </w:r>
      <w:r w:rsidR="00124A80" w:rsidRPr="008B086D">
        <w:rPr>
          <w:rFonts w:ascii="Gill Sans MT" w:eastAsia="Gill Sans MT" w:hAnsi="Gill Sans MT" w:cs="Gill Sans MT"/>
          <w:kern w:val="0"/>
          <w:lang w:val="en-GB"/>
          <w14:ligatures w14:val="none"/>
        </w:rPr>
        <w:t xml:space="preserve">as </w:t>
      </w:r>
      <w:r w:rsidRPr="008B086D">
        <w:rPr>
          <w:rFonts w:ascii="Gill Sans MT" w:eastAsia="Gill Sans MT" w:hAnsi="Gill Sans MT" w:cs="Gill Sans MT"/>
          <w:kern w:val="0"/>
          <w:lang w:val="en-GB"/>
          <w14:ligatures w14:val="none"/>
        </w:rPr>
        <w:t>a</w:t>
      </w:r>
      <w:r w:rsidR="00115065" w:rsidRPr="008B086D">
        <w:rPr>
          <w:rFonts w:ascii="Gill Sans MT" w:eastAsia="Gill Sans MT" w:hAnsi="Gill Sans MT" w:cs="Gill Sans MT"/>
          <w:kern w:val="0"/>
          <w:lang w:val="en-GB"/>
          <w14:ligatures w14:val="none"/>
        </w:rPr>
        <w:t xml:space="preserve">n Ashkenazi </w:t>
      </w:r>
      <w:r w:rsidRPr="008B086D">
        <w:rPr>
          <w:rFonts w:ascii="Gill Sans MT" w:eastAsia="Gill Sans MT" w:hAnsi="Gill Sans MT" w:cs="Gill Sans MT"/>
          <w:kern w:val="0"/>
          <w:lang w:val="en-GB"/>
          <w14:ligatures w14:val="none"/>
        </w:rPr>
        <w:t>Jewish Israeli</w:t>
      </w:r>
      <w:r w:rsidR="00124A80" w:rsidRPr="008B086D">
        <w:rPr>
          <w:rFonts w:ascii="Gill Sans MT" w:eastAsia="Gill Sans MT" w:hAnsi="Gill Sans MT" w:cs="Gill Sans MT"/>
          <w:kern w:val="0"/>
          <w:lang w:val="en-GB"/>
          <w14:ligatures w14:val="none"/>
        </w:rPr>
        <w:t xml:space="preserve"> is discussed albeit</w:t>
      </w:r>
      <w:r w:rsidR="002D0D06" w:rsidRPr="008B086D">
        <w:rPr>
          <w:rFonts w:ascii="Gill Sans MT" w:eastAsia="Gill Sans MT" w:hAnsi="Gill Sans MT" w:cs="Gill Sans MT"/>
          <w:kern w:val="0"/>
          <w:lang w:val="en-GB"/>
          <w14:ligatures w14:val="none"/>
        </w:rPr>
        <w:t xml:space="preserve"> </w:t>
      </w:r>
      <w:r w:rsidR="00124A80" w:rsidRPr="008B086D">
        <w:rPr>
          <w:rFonts w:ascii="Gill Sans MT" w:eastAsia="Gill Sans MT" w:hAnsi="Gill Sans MT" w:cs="Gill Sans MT"/>
          <w:kern w:val="0"/>
          <w:lang w:val="en-GB"/>
          <w14:ligatures w14:val="none"/>
        </w:rPr>
        <w:t>not sufficiently</w:t>
      </w:r>
      <w:r w:rsidR="00931210" w:rsidRPr="008B086D">
        <w:rPr>
          <w:rFonts w:ascii="Gill Sans MT" w:eastAsia="Gill Sans MT" w:hAnsi="Gill Sans MT" w:cs="Gill Sans MT"/>
          <w:kern w:val="0"/>
          <w:lang w:val="en-GB"/>
          <w14:ligatures w14:val="none"/>
        </w:rPr>
        <w:t xml:space="preserve"> given its inherent complexities</w:t>
      </w:r>
      <w:r w:rsidRPr="008B086D">
        <w:rPr>
          <w:rFonts w:ascii="Gill Sans MT" w:eastAsia="Gill Sans MT" w:hAnsi="Gill Sans MT" w:cs="Gill Sans MT"/>
          <w:kern w:val="0"/>
          <w:lang w:val="en-GB"/>
          <w14:ligatures w14:val="none"/>
        </w:rPr>
        <w:t>.</w:t>
      </w:r>
      <w:r w:rsidR="00124A80" w:rsidRPr="008B086D">
        <w:rPr>
          <w:rFonts w:ascii="Gill Sans MT" w:eastAsia="Gill Sans MT" w:hAnsi="Gill Sans MT" w:cs="Gill Sans MT"/>
          <w:kern w:val="0"/>
          <w:lang w:val="en-GB"/>
          <w14:ligatures w14:val="none"/>
        </w:rPr>
        <w:t xml:space="preserve"> The book was written before the </w:t>
      </w:r>
      <w:r w:rsidR="00E616AD" w:rsidRPr="008B086D">
        <w:rPr>
          <w:rFonts w:ascii="Gill Sans MT" w:eastAsia="Gill Sans MT" w:hAnsi="Gill Sans MT" w:cs="Gill Sans MT"/>
          <w:kern w:val="0"/>
          <w:lang w:val="en-GB"/>
          <w14:ligatures w14:val="none"/>
        </w:rPr>
        <w:t>beginning of the</w:t>
      </w:r>
      <w:r w:rsidR="004E36B6" w:rsidRPr="008B086D">
        <w:rPr>
          <w:rFonts w:ascii="Gill Sans MT" w:eastAsia="Gill Sans MT" w:hAnsi="Gill Sans MT" w:cs="Gill Sans MT"/>
          <w:kern w:val="0"/>
          <w:lang w:val="en-GB"/>
          <w14:ligatures w14:val="none"/>
        </w:rPr>
        <w:t xml:space="preserve"> </w:t>
      </w:r>
      <w:r w:rsidR="00E616AD" w:rsidRPr="008B086D">
        <w:rPr>
          <w:rFonts w:ascii="Gill Sans MT" w:eastAsia="Gill Sans MT" w:hAnsi="Gill Sans MT" w:cs="Gill Sans MT"/>
          <w:kern w:val="0"/>
          <w:lang w:val="en-GB"/>
          <w14:ligatures w14:val="none"/>
        </w:rPr>
        <w:t xml:space="preserve">genocide in Gaza </w:t>
      </w:r>
      <w:r w:rsidR="00D04250" w:rsidRPr="008B086D">
        <w:rPr>
          <w:rFonts w:ascii="Gill Sans MT" w:eastAsia="Gill Sans MT" w:hAnsi="Gill Sans MT" w:cs="Gill Sans MT"/>
          <w:kern w:val="0"/>
          <w:lang w:val="en-GB"/>
          <w14:ligatures w14:val="none"/>
        </w:rPr>
        <w:t>and</w:t>
      </w:r>
      <w:r w:rsidR="004775BC" w:rsidRPr="008B086D">
        <w:rPr>
          <w:rFonts w:ascii="Gill Sans MT" w:eastAsia="Gill Sans MT" w:hAnsi="Gill Sans MT" w:cs="Gill Sans MT"/>
          <w:kern w:val="0"/>
          <w:lang w:val="en-GB"/>
          <w14:ligatures w14:val="none"/>
        </w:rPr>
        <w:t xml:space="preserve"> daily </w:t>
      </w:r>
      <w:r w:rsidR="00EF7704" w:rsidRPr="008B086D">
        <w:rPr>
          <w:rFonts w:ascii="Gill Sans MT" w:eastAsia="Gill Sans MT" w:hAnsi="Gill Sans MT" w:cs="Gill Sans MT"/>
          <w:kern w:val="0"/>
          <w:lang w:val="en-GB"/>
          <w14:ligatures w14:val="none"/>
        </w:rPr>
        <w:t xml:space="preserve">Israeli attacks </w:t>
      </w:r>
      <w:r w:rsidR="004775BC" w:rsidRPr="008B086D">
        <w:rPr>
          <w:rFonts w:ascii="Gill Sans MT" w:eastAsia="Gill Sans MT" w:hAnsi="Gill Sans MT" w:cs="Gill Sans MT"/>
          <w:kern w:val="0"/>
          <w:lang w:val="en-GB"/>
          <w14:ligatures w14:val="none"/>
        </w:rPr>
        <w:t xml:space="preserve">in the West </w:t>
      </w:r>
      <w:r w:rsidR="00FD76F7" w:rsidRPr="008B086D">
        <w:rPr>
          <w:rFonts w:ascii="Gill Sans MT" w:eastAsia="Gill Sans MT" w:hAnsi="Gill Sans MT" w:cs="Gill Sans MT"/>
          <w:kern w:val="0"/>
          <w:lang w:val="en-GB"/>
          <w14:ligatures w14:val="none"/>
        </w:rPr>
        <w:t>B</w:t>
      </w:r>
      <w:r w:rsidR="004775BC" w:rsidRPr="008B086D">
        <w:rPr>
          <w:rFonts w:ascii="Gill Sans MT" w:eastAsia="Gill Sans MT" w:hAnsi="Gill Sans MT" w:cs="Gill Sans MT"/>
          <w:kern w:val="0"/>
          <w:lang w:val="en-GB"/>
          <w14:ligatures w14:val="none"/>
        </w:rPr>
        <w:t>ank</w:t>
      </w:r>
      <w:r w:rsidR="00534E49" w:rsidRPr="008B086D">
        <w:rPr>
          <w:rFonts w:ascii="Gill Sans MT" w:eastAsia="Gill Sans MT" w:hAnsi="Gill Sans MT" w:cs="Gill Sans MT"/>
          <w:kern w:val="0"/>
          <w:lang w:val="en-GB"/>
          <w14:ligatures w14:val="none"/>
        </w:rPr>
        <w:t xml:space="preserve">. </w:t>
      </w:r>
      <w:r w:rsidR="00A5561B" w:rsidRPr="008B086D">
        <w:rPr>
          <w:rFonts w:ascii="Gill Sans MT" w:eastAsia="Gill Sans MT" w:hAnsi="Gill Sans MT" w:cs="Gill Sans MT"/>
          <w:kern w:val="0"/>
          <w:lang w:val="en-GB"/>
          <w14:ligatures w14:val="none"/>
        </w:rPr>
        <w:t>A</w:t>
      </w:r>
      <w:r w:rsidR="001626EC" w:rsidRPr="008B086D">
        <w:rPr>
          <w:rFonts w:ascii="Gill Sans MT" w:eastAsia="Gill Sans MT" w:hAnsi="Gill Sans MT" w:cs="Gill Sans MT"/>
          <w:kern w:val="0"/>
          <w:lang w:val="en-GB"/>
          <w14:ligatures w14:val="none"/>
        </w:rPr>
        <w:t xml:space="preserve">s </w:t>
      </w:r>
      <w:r w:rsidR="00A5561B" w:rsidRPr="008B086D">
        <w:rPr>
          <w:rFonts w:ascii="Gill Sans MT" w:eastAsia="Gill Sans MT" w:hAnsi="Gill Sans MT" w:cs="Gill Sans MT"/>
          <w:kern w:val="0"/>
          <w:lang w:val="en-GB"/>
          <w14:ligatures w14:val="none"/>
        </w:rPr>
        <w:t>the author</w:t>
      </w:r>
      <w:r w:rsidR="001626EC" w:rsidRPr="008B086D">
        <w:rPr>
          <w:rFonts w:ascii="Gill Sans MT" w:eastAsia="Gill Sans MT" w:hAnsi="Gill Sans MT" w:cs="Gill Sans MT"/>
          <w:kern w:val="0"/>
          <w:lang w:val="en-GB"/>
          <w14:ligatures w14:val="none"/>
        </w:rPr>
        <w:t xml:space="preserve"> argues, most of the discussions on Palestinian agriculture ha</w:t>
      </w:r>
      <w:r w:rsidR="00A5561B" w:rsidRPr="008B086D">
        <w:rPr>
          <w:rFonts w:ascii="Gill Sans MT" w:eastAsia="Gill Sans MT" w:hAnsi="Gill Sans MT" w:cs="Gill Sans MT"/>
          <w:kern w:val="0"/>
          <w:lang w:val="en-GB"/>
          <w14:ligatures w14:val="none"/>
        </w:rPr>
        <w:t>d so far</w:t>
      </w:r>
      <w:r w:rsidR="001626EC" w:rsidRPr="008B086D">
        <w:rPr>
          <w:rFonts w:ascii="Gill Sans MT" w:eastAsia="Gill Sans MT" w:hAnsi="Gill Sans MT" w:cs="Gill Sans MT"/>
          <w:kern w:val="0"/>
          <w:lang w:val="en-GB"/>
          <w14:ligatures w14:val="none"/>
        </w:rPr>
        <w:t xml:space="preserve"> been based in the Occupied </w:t>
      </w:r>
      <w:r w:rsidR="00FD76F7" w:rsidRPr="008B086D">
        <w:rPr>
          <w:rFonts w:ascii="Gill Sans MT" w:eastAsia="Gill Sans MT" w:hAnsi="Gill Sans MT" w:cs="Gill Sans MT"/>
          <w:kern w:val="0"/>
          <w:lang w:val="en-GB"/>
          <w14:ligatures w14:val="none"/>
        </w:rPr>
        <w:t>T</w:t>
      </w:r>
      <w:r w:rsidR="001626EC" w:rsidRPr="008B086D">
        <w:rPr>
          <w:rFonts w:ascii="Gill Sans MT" w:eastAsia="Gill Sans MT" w:hAnsi="Gill Sans MT" w:cs="Gill Sans MT"/>
          <w:kern w:val="0"/>
          <w:lang w:val="en-GB"/>
          <w14:ligatures w14:val="none"/>
        </w:rPr>
        <w:t xml:space="preserve">erritories, hence the need to </w:t>
      </w:r>
      <w:r w:rsidR="000C2E02" w:rsidRPr="008B086D">
        <w:rPr>
          <w:rFonts w:ascii="Gill Sans MT" w:eastAsia="Gill Sans MT" w:hAnsi="Gill Sans MT" w:cs="Gill Sans MT"/>
          <w:kern w:val="0"/>
          <w:lang w:val="en-GB"/>
          <w14:ligatures w14:val="none"/>
        </w:rPr>
        <w:t xml:space="preserve">give voice to Palestinians within the state of Israel. </w:t>
      </w:r>
      <w:r w:rsidR="00534E49" w:rsidRPr="008B086D">
        <w:rPr>
          <w:rFonts w:ascii="Gill Sans MT" w:eastAsia="Gill Sans MT" w:hAnsi="Gill Sans MT" w:cs="Gill Sans MT"/>
          <w:kern w:val="0"/>
          <w:lang w:val="en-GB"/>
          <w14:ligatures w14:val="none"/>
        </w:rPr>
        <w:t>T</w:t>
      </w:r>
      <w:r w:rsidR="00146EF3" w:rsidRPr="008B086D">
        <w:rPr>
          <w:rFonts w:ascii="Gill Sans MT" w:eastAsia="Gill Sans MT" w:hAnsi="Gill Sans MT" w:cs="Gill Sans MT"/>
          <w:kern w:val="0"/>
          <w:lang w:val="en-GB"/>
          <w14:ligatures w14:val="none"/>
        </w:rPr>
        <w:t>he</w:t>
      </w:r>
      <w:r w:rsidR="000C2E02" w:rsidRPr="008B086D">
        <w:rPr>
          <w:rFonts w:ascii="Gill Sans MT" w:eastAsia="Gill Sans MT" w:hAnsi="Gill Sans MT" w:cs="Gill Sans MT"/>
          <w:kern w:val="0"/>
          <w:lang w:val="en-GB"/>
          <w14:ligatures w14:val="none"/>
        </w:rPr>
        <w:t xml:space="preserve">se voices are </w:t>
      </w:r>
      <w:r w:rsidR="00534E49" w:rsidRPr="008B086D">
        <w:rPr>
          <w:rFonts w:ascii="Gill Sans MT" w:eastAsia="Gill Sans MT" w:hAnsi="Gill Sans MT" w:cs="Gill Sans MT"/>
          <w:kern w:val="0"/>
          <w:lang w:val="en-GB"/>
          <w14:ligatures w14:val="none"/>
        </w:rPr>
        <w:t>however</w:t>
      </w:r>
      <w:r w:rsidR="00146EF3" w:rsidRPr="008B086D">
        <w:rPr>
          <w:rFonts w:ascii="Gill Sans MT" w:eastAsia="Gill Sans MT" w:hAnsi="Gill Sans MT" w:cs="Gill Sans MT"/>
          <w:kern w:val="0"/>
          <w:lang w:val="en-GB"/>
          <w14:ligatures w14:val="none"/>
        </w:rPr>
        <w:t xml:space="preserve"> mostly felt through few encounters with </w:t>
      </w:r>
      <w:r w:rsidR="00E82142" w:rsidRPr="008B086D">
        <w:rPr>
          <w:rFonts w:ascii="Gill Sans MT" w:eastAsia="Gill Sans MT" w:hAnsi="Gill Sans MT" w:cs="Gill Sans MT"/>
          <w:kern w:val="0"/>
          <w:lang w:val="en-GB"/>
          <w14:ligatures w14:val="none"/>
        </w:rPr>
        <w:t xml:space="preserve">Palestinian farmers (mostly </w:t>
      </w:r>
      <w:r w:rsidR="003F46A8" w:rsidRPr="008B086D">
        <w:rPr>
          <w:rFonts w:ascii="Gill Sans MT" w:eastAsia="Gill Sans MT" w:hAnsi="Gill Sans MT" w:cs="Gill Sans MT"/>
          <w:kern w:val="0"/>
          <w:lang w:val="en-GB"/>
          <w14:ligatures w14:val="none"/>
        </w:rPr>
        <w:t xml:space="preserve">highly educated, </w:t>
      </w:r>
      <w:r w:rsidR="00E82142" w:rsidRPr="008B086D">
        <w:rPr>
          <w:rFonts w:ascii="Gill Sans MT" w:eastAsia="Gill Sans MT" w:hAnsi="Gill Sans MT" w:cs="Gill Sans MT"/>
          <w:kern w:val="0"/>
          <w:lang w:val="en-GB"/>
          <w14:ligatures w14:val="none"/>
        </w:rPr>
        <w:t>relatively wealthy</w:t>
      </w:r>
      <w:r w:rsidR="00356EF6" w:rsidRPr="008B086D">
        <w:rPr>
          <w:rFonts w:ascii="Gill Sans MT" w:eastAsia="Gill Sans MT" w:hAnsi="Gill Sans MT" w:cs="Gill Sans MT"/>
          <w:kern w:val="0"/>
          <w:lang w:val="en-GB"/>
          <w14:ligatures w14:val="none"/>
        </w:rPr>
        <w:t>,</w:t>
      </w:r>
      <w:r w:rsidR="00E82142" w:rsidRPr="008B086D">
        <w:rPr>
          <w:rFonts w:ascii="Gill Sans MT" w:eastAsia="Gill Sans MT" w:hAnsi="Gill Sans MT" w:cs="Gill Sans MT"/>
          <w:kern w:val="0"/>
          <w:lang w:val="en-GB"/>
          <w14:ligatures w14:val="none"/>
        </w:rPr>
        <w:t xml:space="preserve"> men) and Palestinians working inside</w:t>
      </w:r>
      <w:r w:rsidR="00D950B9" w:rsidRPr="008B086D">
        <w:rPr>
          <w:rFonts w:ascii="Gill Sans MT" w:eastAsia="Gill Sans MT" w:hAnsi="Gill Sans MT" w:cs="Gill Sans MT"/>
          <w:kern w:val="0"/>
          <w:lang w:val="en-GB"/>
          <w14:ligatures w14:val="none"/>
        </w:rPr>
        <w:t xml:space="preserve"> ‘the state’</w:t>
      </w:r>
      <w:r w:rsidR="00E82142" w:rsidRPr="008B086D">
        <w:rPr>
          <w:rFonts w:ascii="Gill Sans MT" w:eastAsia="Gill Sans MT" w:hAnsi="Gill Sans MT" w:cs="Gill Sans MT"/>
          <w:kern w:val="0"/>
          <w:lang w:val="en-GB"/>
          <w14:ligatures w14:val="none"/>
        </w:rPr>
        <w:t xml:space="preserve">. The author’s positionality does however allow for </w:t>
      </w:r>
      <w:r w:rsidR="003F46A8" w:rsidRPr="008B086D">
        <w:rPr>
          <w:rFonts w:ascii="Gill Sans MT" w:eastAsia="Gill Sans MT" w:hAnsi="Gill Sans MT" w:cs="Gill Sans MT"/>
          <w:kern w:val="0"/>
          <w:lang w:val="en-GB"/>
          <w14:ligatures w14:val="none"/>
        </w:rPr>
        <w:t xml:space="preserve">unique </w:t>
      </w:r>
      <w:r w:rsidRPr="008B086D">
        <w:rPr>
          <w:rFonts w:ascii="Gill Sans MT" w:eastAsia="Gill Sans MT" w:hAnsi="Gill Sans MT" w:cs="Gill Sans MT"/>
          <w:kern w:val="0"/>
          <w:lang w:val="en-GB"/>
          <w14:ligatures w14:val="none"/>
        </w:rPr>
        <w:t>granular access to</w:t>
      </w:r>
      <w:r w:rsidR="002D0D06" w:rsidRPr="008B086D">
        <w:rPr>
          <w:rFonts w:ascii="Gill Sans MT" w:eastAsia="Gill Sans MT" w:hAnsi="Gill Sans MT" w:cs="Gill Sans MT"/>
          <w:kern w:val="0"/>
          <w:lang w:val="en-GB"/>
          <w14:ligatures w14:val="none"/>
        </w:rPr>
        <w:t xml:space="preserve"> the</w:t>
      </w:r>
      <w:r w:rsidR="00D950B9" w:rsidRPr="008B086D">
        <w:rPr>
          <w:rFonts w:ascii="Gill Sans MT" w:eastAsia="Gill Sans MT" w:hAnsi="Gill Sans MT" w:cs="Gill Sans MT"/>
          <w:kern w:val="0"/>
          <w:lang w:val="en-GB"/>
          <w14:ligatures w14:val="none"/>
        </w:rPr>
        <w:t xml:space="preserve"> Israeli</w:t>
      </w:r>
      <w:r w:rsidRPr="008B086D">
        <w:rPr>
          <w:rFonts w:ascii="Gill Sans MT" w:eastAsia="Gill Sans MT" w:hAnsi="Gill Sans MT" w:cs="Gill Sans MT"/>
          <w:kern w:val="0"/>
          <w:lang w:val="en-GB"/>
          <w14:ligatures w14:val="none"/>
        </w:rPr>
        <w:t xml:space="preserve"> </w:t>
      </w:r>
      <w:r w:rsidR="00DA4EAA" w:rsidRPr="008B086D">
        <w:rPr>
          <w:rFonts w:ascii="Gill Sans MT" w:eastAsia="Gill Sans MT" w:hAnsi="Gill Sans MT" w:cs="Gill Sans MT"/>
          <w:kern w:val="0"/>
          <w:lang w:val="en-GB"/>
          <w14:ligatures w14:val="none"/>
        </w:rPr>
        <w:t>ministries and t</w:t>
      </w:r>
      <w:r w:rsidR="003F46A8" w:rsidRPr="008B086D">
        <w:rPr>
          <w:rFonts w:ascii="Gill Sans MT" w:eastAsia="Gill Sans MT" w:hAnsi="Gill Sans MT" w:cs="Gill Sans MT"/>
          <w:kern w:val="0"/>
          <w:lang w:val="en-GB"/>
          <w14:ligatures w14:val="none"/>
        </w:rPr>
        <w:t>he workings of state bureaucracies</w:t>
      </w:r>
      <w:r w:rsidR="007E4CC8"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 xml:space="preserve"> Gutkowski </w:t>
      </w:r>
      <w:r w:rsidR="007E4CC8" w:rsidRPr="008B086D">
        <w:rPr>
          <w:rFonts w:ascii="Gill Sans MT" w:eastAsia="Gill Sans MT" w:hAnsi="Gill Sans MT" w:cs="Gill Sans MT"/>
          <w:kern w:val="0"/>
          <w:lang w:val="en-GB"/>
          <w14:ligatures w14:val="none"/>
        </w:rPr>
        <w:t>does</w:t>
      </w:r>
      <w:r w:rsidRPr="008B086D">
        <w:rPr>
          <w:rFonts w:ascii="Gill Sans MT" w:eastAsia="Gill Sans MT" w:hAnsi="Gill Sans MT" w:cs="Gill Sans MT"/>
          <w:kern w:val="0"/>
          <w:lang w:val="en-GB"/>
          <w14:ligatures w14:val="none"/>
        </w:rPr>
        <w:t xml:space="preserve"> explicit</w:t>
      </w:r>
      <w:r w:rsidR="009432AF" w:rsidRPr="008B086D">
        <w:rPr>
          <w:rFonts w:ascii="Gill Sans MT" w:eastAsia="Gill Sans MT" w:hAnsi="Gill Sans MT" w:cs="Gill Sans MT"/>
          <w:kern w:val="0"/>
          <w:lang w:val="en-GB"/>
          <w14:ligatures w14:val="none"/>
        </w:rPr>
        <w:t>ly</w:t>
      </w:r>
      <w:r w:rsidRPr="008B086D">
        <w:rPr>
          <w:rFonts w:ascii="Gill Sans MT" w:eastAsia="Gill Sans MT" w:hAnsi="Gill Sans MT" w:cs="Gill Sans MT"/>
          <w:kern w:val="0"/>
          <w:lang w:val="en-GB"/>
          <w14:ligatures w14:val="none"/>
        </w:rPr>
        <w:t xml:space="preserve"> </w:t>
      </w:r>
      <w:r w:rsidR="007E4CC8" w:rsidRPr="008B086D">
        <w:rPr>
          <w:rFonts w:ascii="Gill Sans MT" w:eastAsia="Gill Sans MT" w:hAnsi="Gill Sans MT" w:cs="Gill Sans MT"/>
          <w:kern w:val="0"/>
          <w:lang w:val="en-GB"/>
          <w14:ligatures w14:val="none"/>
        </w:rPr>
        <w:t xml:space="preserve">state that this is not a study of </w:t>
      </w:r>
      <w:r w:rsidRPr="008B086D">
        <w:rPr>
          <w:rFonts w:ascii="Gill Sans MT" w:eastAsia="Gill Sans MT" w:hAnsi="Gill Sans MT" w:cs="Gill Sans MT"/>
          <w:kern w:val="0"/>
          <w:lang w:val="en-GB"/>
          <w14:ligatures w14:val="none"/>
        </w:rPr>
        <w:t>Palestinian agriculture per se,</w:t>
      </w:r>
      <w:r w:rsidR="00CC0434"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 xml:space="preserve">but of how power </w:t>
      </w:r>
      <w:r w:rsidR="00395071" w:rsidRPr="008B086D">
        <w:rPr>
          <w:rFonts w:ascii="Gill Sans MT" w:eastAsia="Gill Sans MT" w:hAnsi="Gill Sans MT" w:cs="Gill Sans MT"/>
          <w:kern w:val="0"/>
          <w:lang w:val="en-GB"/>
          <w14:ligatures w14:val="none"/>
        </w:rPr>
        <w:t xml:space="preserve">and control </w:t>
      </w:r>
      <w:r w:rsidRPr="008B086D">
        <w:rPr>
          <w:rFonts w:ascii="Gill Sans MT" w:eastAsia="Gill Sans MT" w:hAnsi="Gill Sans MT" w:cs="Gill Sans MT"/>
          <w:kern w:val="0"/>
          <w:lang w:val="en-GB"/>
          <w14:ligatures w14:val="none"/>
        </w:rPr>
        <w:t>operate in the settler-colonial encounter through agrarian governance. That</w:t>
      </w:r>
      <w:r w:rsidR="00895B07"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clarity</w:t>
      </w:r>
      <w:r w:rsidR="00FC447C" w:rsidRPr="008B086D">
        <w:rPr>
          <w:rFonts w:ascii="Gill Sans MT" w:eastAsia="Gill Sans MT" w:hAnsi="Gill Sans MT" w:cs="Gill Sans MT"/>
          <w:kern w:val="0"/>
          <w:lang w:val="en-GB"/>
          <w14:ligatures w14:val="none"/>
        </w:rPr>
        <w:t xml:space="preserve"> effectively</w:t>
      </w:r>
      <w:r w:rsidR="00F5697F"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fram</w:t>
      </w:r>
      <w:r w:rsidR="00FC447C" w:rsidRPr="008B086D">
        <w:rPr>
          <w:rFonts w:ascii="Gill Sans MT" w:eastAsia="Gill Sans MT" w:hAnsi="Gill Sans MT" w:cs="Gill Sans MT"/>
          <w:kern w:val="0"/>
          <w:lang w:val="en-GB"/>
          <w14:ligatures w14:val="none"/>
        </w:rPr>
        <w:t>es</w:t>
      </w:r>
      <w:r w:rsidR="00F5697F"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 xml:space="preserve">some of the book’s </w:t>
      </w:r>
      <w:r w:rsidR="00FC447C" w:rsidRPr="008B086D">
        <w:rPr>
          <w:rFonts w:ascii="Gill Sans MT" w:eastAsia="Gill Sans MT" w:hAnsi="Gill Sans MT" w:cs="Gill Sans MT"/>
          <w:kern w:val="0"/>
          <w:lang w:val="en-GB"/>
          <w14:ligatures w14:val="none"/>
        </w:rPr>
        <w:t xml:space="preserve">strengths and </w:t>
      </w:r>
      <w:r w:rsidRPr="008B086D">
        <w:rPr>
          <w:rFonts w:ascii="Gill Sans MT" w:eastAsia="Gill Sans MT" w:hAnsi="Gill Sans MT" w:cs="Gill Sans MT"/>
          <w:kern w:val="0"/>
          <w:lang w:val="en-GB"/>
          <w14:ligatures w14:val="none"/>
        </w:rPr>
        <w:t>limits</w:t>
      </w:r>
      <w:r w:rsidR="00FC447C" w:rsidRPr="008B086D">
        <w:rPr>
          <w:rFonts w:ascii="Gill Sans MT" w:eastAsia="Gill Sans MT" w:hAnsi="Gill Sans MT" w:cs="Gill Sans MT"/>
          <w:kern w:val="0"/>
          <w:lang w:val="en-GB"/>
          <w14:ligatures w14:val="none"/>
        </w:rPr>
        <w:t xml:space="preserve"> from the start</w:t>
      </w:r>
      <w:r w:rsidRPr="008B086D">
        <w:rPr>
          <w:rFonts w:ascii="Gill Sans MT" w:eastAsia="Gill Sans MT" w:hAnsi="Gill Sans MT" w:cs="Gill Sans MT"/>
          <w:kern w:val="0"/>
          <w:lang w:val="en-GB"/>
          <w14:ligatures w14:val="none"/>
        </w:rPr>
        <w:t>.</w:t>
      </w:r>
    </w:p>
    <w:p w14:paraId="44E0BBA6" w14:textId="01B420AA" w:rsidR="00DE7B0B" w:rsidRPr="008B086D" w:rsidRDefault="00A60A70"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The first chapter</w:t>
      </w:r>
      <w:r w:rsidR="006849AE" w:rsidRPr="008B086D">
        <w:rPr>
          <w:rFonts w:ascii="Gill Sans MT" w:eastAsia="Gill Sans MT" w:hAnsi="Gill Sans MT" w:cs="Gill Sans MT"/>
          <w:kern w:val="0"/>
          <w:lang w:val="en-GB"/>
          <w14:ligatures w14:val="none"/>
        </w:rPr>
        <w:t xml:space="preserve">, ‘Draining the </w:t>
      </w:r>
      <w:r w:rsidR="00FD76F7" w:rsidRPr="008B086D">
        <w:rPr>
          <w:rFonts w:ascii="Gill Sans MT" w:eastAsia="Gill Sans MT" w:hAnsi="Gill Sans MT" w:cs="Gill Sans MT"/>
          <w:kern w:val="0"/>
          <w:lang w:val="en-GB"/>
          <w14:ligatures w14:val="none"/>
        </w:rPr>
        <w:t>s</w:t>
      </w:r>
      <w:r w:rsidR="006849AE" w:rsidRPr="008B086D">
        <w:rPr>
          <w:rFonts w:ascii="Gill Sans MT" w:eastAsia="Gill Sans MT" w:hAnsi="Gill Sans MT" w:cs="Gill Sans MT"/>
          <w:kern w:val="0"/>
          <w:lang w:val="en-GB"/>
          <w14:ligatures w14:val="none"/>
        </w:rPr>
        <w:t>wamp’,</w:t>
      </w:r>
      <w:r w:rsidRPr="008B086D">
        <w:rPr>
          <w:rFonts w:ascii="Gill Sans MT" w:eastAsia="Gill Sans MT" w:hAnsi="Gill Sans MT" w:cs="Gill Sans MT"/>
          <w:kern w:val="0"/>
          <w:lang w:val="en-GB"/>
          <w14:ligatures w14:val="none"/>
        </w:rPr>
        <w:t xml:space="preserve"> </w:t>
      </w:r>
      <w:r w:rsidR="003A6764" w:rsidRPr="008B086D">
        <w:rPr>
          <w:rFonts w:ascii="Gill Sans MT" w:eastAsia="Gill Sans MT" w:hAnsi="Gill Sans MT" w:cs="Gill Sans MT"/>
          <w:kern w:val="0"/>
          <w:lang w:val="en-GB"/>
          <w14:ligatures w14:val="none"/>
        </w:rPr>
        <w:t>centres</w:t>
      </w:r>
      <w:r w:rsidRPr="008B086D">
        <w:rPr>
          <w:rFonts w:ascii="Gill Sans MT" w:eastAsia="Gill Sans MT" w:hAnsi="Gill Sans MT" w:cs="Gill Sans MT"/>
          <w:kern w:val="0"/>
          <w:lang w:val="en-GB"/>
          <w14:ligatures w14:val="none"/>
        </w:rPr>
        <w:t xml:space="preserve"> on Sahl al-</w:t>
      </w:r>
      <w:proofErr w:type="spellStart"/>
      <w:r w:rsidRPr="008B086D">
        <w:rPr>
          <w:rFonts w:ascii="Gill Sans MT" w:eastAsia="Gill Sans MT" w:hAnsi="Gill Sans MT" w:cs="Gill Sans MT"/>
          <w:kern w:val="0"/>
          <w:lang w:val="en-GB"/>
          <w14:ligatures w14:val="none"/>
        </w:rPr>
        <w:t>Battuf</w:t>
      </w:r>
      <w:proofErr w:type="spellEnd"/>
      <w:r w:rsidRPr="008B086D">
        <w:rPr>
          <w:rFonts w:ascii="Gill Sans MT" w:eastAsia="Gill Sans MT" w:hAnsi="Gill Sans MT" w:cs="Gill Sans MT"/>
          <w:kern w:val="0"/>
          <w:lang w:val="en-GB"/>
          <w14:ligatures w14:val="none"/>
        </w:rPr>
        <w:t xml:space="preserve"> (the Beit </w:t>
      </w:r>
      <w:proofErr w:type="spellStart"/>
      <w:r w:rsidRPr="008B086D">
        <w:rPr>
          <w:rFonts w:ascii="Gill Sans MT" w:eastAsia="Gill Sans MT" w:hAnsi="Gill Sans MT" w:cs="Gill Sans MT"/>
          <w:kern w:val="0"/>
          <w:lang w:val="en-GB"/>
          <w14:ligatures w14:val="none"/>
        </w:rPr>
        <w:t>Netofa</w:t>
      </w:r>
      <w:proofErr w:type="spellEnd"/>
      <w:r w:rsidRPr="008B086D">
        <w:rPr>
          <w:rFonts w:ascii="Gill Sans MT" w:eastAsia="Gill Sans MT" w:hAnsi="Gill Sans MT" w:cs="Gill Sans MT"/>
          <w:kern w:val="0"/>
          <w:lang w:val="en-GB"/>
          <w14:ligatures w14:val="none"/>
        </w:rPr>
        <w:t xml:space="preserve"> Plain), an endangered wetland whose fate </w:t>
      </w:r>
      <w:r w:rsidR="00AC7207" w:rsidRPr="008B086D">
        <w:rPr>
          <w:rFonts w:ascii="Gill Sans MT" w:eastAsia="Gill Sans MT" w:hAnsi="Gill Sans MT" w:cs="Gill Sans MT"/>
          <w:kern w:val="0"/>
          <w:lang w:val="en-GB"/>
          <w14:ligatures w14:val="none"/>
        </w:rPr>
        <w:t>exemplifies the</w:t>
      </w:r>
      <w:r w:rsidR="00160240" w:rsidRPr="008B086D">
        <w:rPr>
          <w:rFonts w:ascii="Gill Sans MT" w:eastAsia="Gill Sans MT" w:hAnsi="Gill Sans MT" w:cs="Gill Sans MT"/>
          <w:kern w:val="0"/>
          <w:lang w:val="en-GB"/>
          <w14:ligatures w14:val="none"/>
        </w:rPr>
        <w:t xml:space="preserve"> notion of</w:t>
      </w:r>
      <w:r w:rsidR="00AC7207"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green grabs</w:t>
      </w:r>
      <w:r w:rsidR="00AC720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 xml:space="preserve">. In 2012, the </w:t>
      </w:r>
      <w:r w:rsidR="00160240" w:rsidRPr="008B086D">
        <w:rPr>
          <w:rFonts w:ascii="Gill Sans MT" w:eastAsia="Gill Sans MT" w:hAnsi="Gill Sans MT" w:cs="Gill Sans MT"/>
          <w:kern w:val="0"/>
          <w:lang w:val="en-GB"/>
          <w14:ligatures w14:val="none"/>
        </w:rPr>
        <w:t xml:space="preserve">Israeli </w:t>
      </w:r>
      <w:r w:rsidRPr="008B086D">
        <w:rPr>
          <w:rFonts w:ascii="Gill Sans MT" w:eastAsia="Gill Sans MT" w:hAnsi="Gill Sans MT" w:cs="Gill Sans MT"/>
          <w:kern w:val="0"/>
          <w:lang w:val="en-GB"/>
          <w14:ligatures w14:val="none"/>
        </w:rPr>
        <w:t xml:space="preserve">Ministry of Agriculture announced a </w:t>
      </w:r>
      <w:r w:rsidR="00F7232D" w:rsidRPr="008B086D">
        <w:rPr>
          <w:rFonts w:ascii="Gill Sans MT" w:eastAsia="Gill Sans MT" w:hAnsi="Gill Sans MT" w:cs="Gill Sans MT"/>
          <w:kern w:val="0"/>
          <w:lang w:val="en-GB"/>
          <w14:ligatures w14:val="none"/>
        </w:rPr>
        <w:t xml:space="preserve">new </w:t>
      </w:r>
      <w:r w:rsidR="00AC720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sustainable agriculture</w:t>
      </w:r>
      <w:r w:rsidR="00AC7207" w:rsidRPr="008B086D">
        <w:rPr>
          <w:rFonts w:ascii="Gill Sans MT" w:eastAsia="Gill Sans MT" w:hAnsi="Gill Sans MT" w:cs="Gill Sans MT"/>
          <w:kern w:val="0"/>
          <w:lang w:val="en-GB"/>
          <w14:ligatures w14:val="none"/>
        </w:rPr>
        <w:t>’</w:t>
      </w:r>
      <w:r w:rsidRPr="008B086D">
        <w:rPr>
          <w:rFonts w:ascii="Gill Sans MT" w:eastAsia="Gill Sans MT" w:hAnsi="Gill Sans MT" w:cs="Gill Sans MT"/>
          <w:kern w:val="0"/>
          <w:lang w:val="en-GB"/>
          <w14:ligatures w14:val="none"/>
        </w:rPr>
        <w:t xml:space="preserve"> program</w:t>
      </w:r>
      <w:r w:rsidR="00F401F5" w:rsidRPr="008B086D">
        <w:rPr>
          <w:rFonts w:ascii="Gill Sans MT" w:eastAsia="Gill Sans MT" w:hAnsi="Gill Sans MT" w:cs="Gill Sans MT"/>
          <w:kern w:val="0"/>
          <w:lang w:val="en-GB"/>
          <w14:ligatures w14:val="none"/>
        </w:rPr>
        <w:t xml:space="preserve"> that Palestinians in that area had to implement</w:t>
      </w:r>
      <w:r w:rsidRPr="008B086D">
        <w:rPr>
          <w:rFonts w:ascii="Gill Sans MT" w:eastAsia="Gill Sans MT" w:hAnsi="Gill Sans MT" w:cs="Gill Sans MT"/>
          <w:kern w:val="0"/>
          <w:lang w:val="en-GB"/>
          <w14:ligatures w14:val="none"/>
        </w:rPr>
        <w:t xml:space="preserve">. </w:t>
      </w:r>
      <w:r w:rsidR="00422C9F" w:rsidRPr="008B086D">
        <w:rPr>
          <w:rFonts w:ascii="Gill Sans MT" w:eastAsia="Gill Sans MT" w:hAnsi="Gill Sans MT" w:cs="Gill Sans MT"/>
          <w:kern w:val="0"/>
          <w:lang w:val="en-GB"/>
          <w14:ligatures w14:val="none"/>
        </w:rPr>
        <w:t>The author powerfully shows t</w:t>
      </w:r>
      <w:r w:rsidRPr="008B086D">
        <w:rPr>
          <w:rFonts w:ascii="Gill Sans MT" w:eastAsia="Gill Sans MT" w:hAnsi="Gill Sans MT" w:cs="Gill Sans MT"/>
          <w:kern w:val="0"/>
          <w:lang w:val="en-GB"/>
          <w14:ligatures w14:val="none"/>
        </w:rPr>
        <w:t xml:space="preserve">he irony </w:t>
      </w:r>
      <w:r w:rsidR="00124471" w:rsidRPr="008B086D">
        <w:rPr>
          <w:rFonts w:ascii="Gill Sans MT" w:eastAsia="Gill Sans MT" w:hAnsi="Gill Sans MT" w:cs="Gill Sans MT"/>
          <w:kern w:val="0"/>
          <w:lang w:val="en-GB"/>
          <w14:ligatures w14:val="none"/>
        </w:rPr>
        <w:t xml:space="preserve">behind </w:t>
      </w:r>
      <w:r w:rsidR="00CD6162" w:rsidRPr="008B086D">
        <w:rPr>
          <w:rFonts w:ascii="Gill Sans MT" w:eastAsia="Gill Sans MT" w:hAnsi="Gill Sans MT" w:cs="Gill Sans MT"/>
          <w:kern w:val="0"/>
          <w:lang w:val="en-GB"/>
          <w14:ligatures w14:val="none"/>
        </w:rPr>
        <w:t xml:space="preserve">Israeli </w:t>
      </w:r>
      <w:r w:rsidR="00422C9F" w:rsidRPr="008B086D">
        <w:rPr>
          <w:rFonts w:ascii="Gill Sans MT" w:eastAsia="Gill Sans MT" w:hAnsi="Gill Sans MT" w:cs="Gill Sans MT"/>
          <w:kern w:val="0"/>
          <w:lang w:val="en-GB"/>
          <w14:ligatures w14:val="none"/>
        </w:rPr>
        <w:t xml:space="preserve">agricultural policies that </w:t>
      </w:r>
      <w:r w:rsidRPr="008B086D">
        <w:rPr>
          <w:rFonts w:ascii="Gill Sans MT" w:eastAsia="Gill Sans MT" w:hAnsi="Gill Sans MT" w:cs="Gill Sans MT"/>
          <w:kern w:val="0"/>
          <w:lang w:val="en-GB"/>
          <w14:ligatures w14:val="none"/>
        </w:rPr>
        <w:t xml:space="preserve">historically drained </w:t>
      </w:r>
      <w:r w:rsidR="0054565D" w:rsidRPr="008B086D">
        <w:rPr>
          <w:rFonts w:ascii="Gill Sans MT" w:eastAsia="Gill Sans MT" w:hAnsi="Gill Sans MT" w:cs="Gill Sans MT"/>
          <w:kern w:val="0"/>
          <w:lang w:val="en-GB"/>
          <w14:ligatures w14:val="none"/>
        </w:rPr>
        <w:t xml:space="preserve">these same </w:t>
      </w:r>
      <w:r w:rsidRPr="008B086D">
        <w:rPr>
          <w:rFonts w:ascii="Gill Sans MT" w:eastAsia="Gill Sans MT" w:hAnsi="Gill Sans MT" w:cs="Gill Sans MT"/>
          <w:kern w:val="0"/>
          <w:lang w:val="en-GB"/>
          <w14:ligatures w14:val="none"/>
        </w:rPr>
        <w:t>wetlands</w:t>
      </w:r>
      <w:r w:rsidR="00901A76" w:rsidRPr="008B086D">
        <w:rPr>
          <w:rFonts w:ascii="Gill Sans MT" w:eastAsia="Gill Sans MT" w:hAnsi="Gill Sans MT" w:cs="Gill Sans MT"/>
          <w:kern w:val="0"/>
          <w:lang w:val="en-GB"/>
          <w14:ligatures w14:val="none"/>
        </w:rPr>
        <w:t>, considered to be a relic of ‘non modern’ Palestinian</w:t>
      </w:r>
      <w:r w:rsidR="00F401F5" w:rsidRPr="008B086D">
        <w:rPr>
          <w:rFonts w:ascii="Gill Sans MT" w:eastAsia="Gill Sans MT" w:hAnsi="Gill Sans MT" w:cs="Gill Sans MT"/>
          <w:kern w:val="0"/>
          <w:lang w:val="en-GB"/>
          <w14:ligatures w14:val="none"/>
        </w:rPr>
        <w:t xml:space="preserve"> agriculture</w:t>
      </w:r>
      <w:r w:rsidR="00901A76" w:rsidRPr="008B086D">
        <w:rPr>
          <w:rFonts w:ascii="Gill Sans MT" w:eastAsia="Gill Sans MT" w:hAnsi="Gill Sans MT" w:cs="Gill Sans MT"/>
          <w:kern w:val="0"/>
          <w:lang w:val="en-GB"/>
          <w14:ligatures w14:val="none"/>
        </w:rPr>
        <w:t xml:space="preserve"> </w:t>
      </w:r>
      <w:r w:rsidR="00CD6162" w:rsidRPr="008B086D">
        <w:rPr>
          <w:rFonts w:ascii="Gill Sans MT" w:eastAsia="Gill Sans MT" w:hAnsi="Gill Sans MT" w:cs="Gill Sans MT"/>
          <w:kern w:val="0"/>
          <w:lang w:val="en-GB"/>
          <w14:ligatures w14:val="none"/>
        </w:rPr>
        <w:t xml:space="preserve">that today </w:t>
      </w:r>
      <w:r w:rsidRPr="008B086D">
        <w:rPr>
          <w:rFonts w:ascii="Gill Sans MT" w:eastAsia="Gill Sans MT" w:hAnsi="Gill Sans MT" w:cs="Gill Sans MT"/>
          <w:kern w:val="0"/>
          <w:lang w:val="en-GB"/>
          <w14:ligatures w14:val="none"/>
        </w:rPr>
        <w:t>state ecologists suddenly champion</w:t>
      </w:r>
      <w:r w:rsidR="00CD6162" w:rsidRPr="008B086D">
        <w:rPr>
          <w:rFonts w:ascii="Gill Sans MT" w:eastAsia="Gill Sans MT" w:hAnsi="Gill Sans MT" w:cs="Gill Sans MT"/>
          <w:kern w:val="0"/>
          <w:lang w:val="en-GB"/>
          <w14:ligatures w14:val="none"/>
        </w:rPr>
        <w:t xml:space="preserve"> as</w:t>
      </w:r>
      <w:r w:rsidRPr="008B086D">
        <w:rPr>
          <w:rFonts w:ascii="Gill Sans MT" w:eastAsia="Gill Sans MT" w:hAnsi="Gill Sans MT" w:cs="Gill Sans MT"/>
          <w:kern w:val="0"/>
          <w:lang w:val="en-GB"/>
          <w14:ligatures w14:val="none"/>
        </w:rPr>
        <w:t xml:space="preserve"> </w:t>
      </w:r>
      <w:r w:rsidR="004E22DA" w:rsidRPr="008B086D">
        <w:rPr>
          <w:rFonts w:ascii="Gill Sans MT" w:eastAsia="Gill Sans MT" w:hAnsi="Gill Sans MT" w:cs="Gill Sans MT"/>
          <w:kern w:val="0"/>
          <w:lang w:val="en-GB"/>
          <w14:ligatures w14:val="none"/>
        </w:rPr>
        <w:t xml:space="preserve">heritage </w:t>
      </w:r>
      <w:r w:rsidRPr="008B086D">
        <w:rPr>
          <w:rFonts w:ascii="Gill Sans MT" w:eastAsia="Gill Sans MT" w:hAnsi="Gill Sans MT" w:cs="Gill Sans MT"/>
          <w:kern w:val="0"/>
          <w:lang w:val="en-GB"/>
          <w14:ligatures w14:val="none"/>
        </w:rPr>
        <w:t>landscape</w:t>
      </w:r>
      <w:r w:rsidR="004E22DA" w:rsidRPr="008B086D">
        <w:rPr>
          <w:rFonts w:ascii="Gill Sans MT" w:eastAsia="Gill Sans MT" w:hAnsi="Gill Sans MT" w:cs="Gill Sans MT"/>
          <w:kern w:val="0"/>
          <w:lang w:val="en-GB"/>
          <w14:ligatures w14:val="none"/>
        </w:rPr>
        <w:t xml:space="preserve"> that should be preserved</w:t>
      </w:r>
      <w:r w:rsidRPr="008B086D">
        <w:rPr>
          <w:rFonts w:ascii="Gill Sans MT" w:eastAsia="Gill Sans MT" w:hAnsi="Gill Sans MT" w:cs="Gill Sans MT"/>
          <w:kern w:val="0"/>
          <w:lang w:val="en-GB"/>
          <w14:ligatures w14:val="none"/>
        </w:rPr>
        <w:t>.</w:t>
      </w:r>
      <w:r w:rsidR="0054565D" w:rsidRPr="008B086D">
        <w:rPr>
          <w:rFonts w:ascii="Gill Sans MT" w:eastAsia="Gill Sans MT" w:hAnsi="Gill Sans MT" w:cs="Gill Sans MT"/>
          <w:kern w:val="0"/>
          <w:lang w:val="en-GB"/>
          <w14:ligatures w14:val="none"/>
        </w:rPr>
        <w:t xml:space="preserve"> In both cases, the policies are at the expense of Palestinians, displaced under the rational</w:t>
      </w:r>
      <w:r w:rsidR="00FD76F7" w:rsidRPr="008B086D">
        <w:rPr>
          <w:rFonts w:ascii="Gill Sans MT" w:eastAsia="Gill Sans MT" w:hAnsi="Gill Sans MT" w:cs="Gill Sans MT"/>
          <w:kern w:val="0"/>
          <w:lang w:val="en-GB"/>
          <w14:ligatures w14:val="none"/>
        </w:rPr>
        <w:t>e</w:t>
      </w:r>
      <w:r w:rsidR="0054565D" w:rsidRPr="008B086D">
        <w:rPr>
          <w:rFonts w:ascii="Gill Sans MT" w:eastAsia="Gill Sans MT" w:hAnsi="Gill Sans MT" w:cs="Gill Sans MT"/>
          <w:kern w:val="0"/>
          <w:lang w:val="en-GB"/>
          <w14:ligatures w14:val="none"/>
        </w:rPr>
        <w:t xml:space="preserve"> of either ‘modernisation’ or ‘conservation’.</w:t>
      </w:r>
      <w:r w:rsidRPr="008B086D">
        <w:rPr>
          <w:rFonts w:ascii="Gill Sans MT" w:eastAsia="Gill Sans MT" w:hAnsi="Gill Sans MT" w:cs="Gill Sans MT"/>
          <w:kern w:val="0"/>
          <w:lang w:val="en-GB"/>
          <w14:ligatures w14:val="none"/>
        </w:rPr>
        <w:t xml:space="preserve"> </w:t>
      </w:r>
      <w:r w:rsidR="0054565D" w:rsidRPr="008B086D">
        <w:rPr>
          <w:rFonts w:ascii="Gill Sans MT" w:eastAsia="Gill Sans MT" w:hAnsi="Gill Sans MT" w:cs="Gill Sans MT"/>
          <w:kern w:val="0"/>
          <w:lang w:val="en-GB"/>
          <w14:ligatures w14:val="none"/>
        </w:rPr>
        <w:t xml:space="preserve">While </w:t>
      </w:r>
      <w:r w:rsidR="0054565D" w:rsidRPr="008B086D">
        <w:rPr>
          <w:rFonts w:ascii="Gill Sans MT" w:eastAsia="Gill Sans MT" w:hAnsi="Gill Sans MT" w:cs="Gill Sans MT"/>
          <w:kern w:val="0"/>
          <w:lang w:val="en-GB"/>
          <w14:ligatures w14:val="none"/>
        </w:rPr>
        <w:lastRenderedPageBreak/>
        <w:t xml:space="preserve">in the former case displacement was </w:t>
      </w:r>
      <w:r w:rsidR="0063442A" w:rsidRPr="008B086D">
        <w:rPr>
          <w:rFonts w:ascii="Gill Sans MT" w:eastAsia="Gill Sans MT" w:hAnsi="Gill Sans MT" w:cs="Gill Sans MT"/>
          <w:kern w:val="0"/>
          <w:lang w:val="en-GB"/>
          <w14:ligatures w14:val="none"/>
        </w:rPr>
        <w:t xml:space="preserve">executed using police or military confrontation, in the latter, time is the mechanism </w:t>
      </w:r>
      <w:r w:rsidR="004E22DA" w:rsidRPr="008B086D">
        <w:rPr>
          <w:rFonts w:ascii="Gill Sans MT" w:eastAsia="Gill Sans MT" w:hAnsi="Gill Sans MT" w:cs="Gill Sans MT"/>
          <w:kern w:val="0"/>
          <w:lang w:val="en-GB"/>
          <w14:ligatures w14:val="none"/>
        </w:rPr>
        <w:t xml:space="preserve">of power </w:t>
      </w:r>
      <w:r w:rsidR="0063442A" w:rsidRPr="008B086D">
        <w:rPr>
          <w:rFonts w:ascii="Gill Sans MT" w:eastAsia="Gill Sans MT" w:hAnsi="Gill Sans MT" w:cs="Gill Sans MT"/>
          <w:kern w:val="0"/>
          <w:lang w:val="en-GB"/>
          <w14:ligatures w14:val="none"/>
        </w:rPr>
        <w:t xml:space="preserve">as </w:t>
      </w:r>
      <w:r w:rsidRPr="008B086D">
        <w:rPr>
          <w:rFonts w:ascii="Gill Sans MT" w:eastAsia="Gill Sans MT" w:hAnsi="Gill Sans MT" w:cs="Gill Sans MT"/>
          <w:kern w:val="0"/>
          <w:lang w:val="en-GB"/>
          <w14:ligatures w14:val="none"/>
        </w:rPr>
        <w:t>Palestinians face procedural delays</w:t>
      </w:r>
      <w:r w:rsidR="0063442A" w:rsidRPr="008B086D">
        <w:rPr>
          <w:rFonts w:ascii="Gill Sans MT" w:eastAsia="Gill Sans MT" w:hAnsi="Gill Sans MT" w:cs="Gill Sans MT"/>
          <w:kern w:val="0"/>
          <w:lang w:val="en-GB"/>
          <w14:ligatures w14:val="none"/>
        </w:rPr>
        <w:t xml:space="preserve"> and stagnation</w:t>
      </w:r>
      <w:r w:rsidRPr="008B086D">
        <w:rPr>
          <w:rFonts w:ascii="Gill Sans MT" w:eastAsia="Gill Sans MT" w:hAnsi="Gill Sans MT" w:cs="Gill Sans MT"/>
          <w:kern w:val="0"/>
          <w:lang w:val="en-GB"/>
          <w14:ligatures w14:val="none"/>
        </w:rPr>
        <w:t>,</w:t>
      </w:r>
      <w:r w:rsidR="0063442A" w:rsidRPr="008B086D">
        <w:rPr>
          <w:rFonts w:ascii="Gill Sans MT" w:eastAsia="Gill Sans MT" w:hAnsi="Gill Sans MT" w:cs="Gill Sans MT"/>
          <w:kern w:val="0"/>
          <w:lang w:val="en-GB"/>
          <w14:ligatures w14:val="none"/>
        </w:rPr>
        <w:t xml:space="preserve"> ultimately </w:t>
      </w:r>
      <w:r w:rsidR="00CD6162" w:rsidRPr="008B086D">
        <w:rPr>
          <w:rFonts w:ascii="Gill Sans MT" w:eastAsia="Gill Sans MT" w:hAnsi="Gill Sans MT" w:cs="Gill Sans MT"/>
          <w:kern w:val="0"/>
          <w:lang w:val="en-GB"/>
          <w14:ligatures w14:val="none"/>
        </w:rPr>
        <w:t>abandoning their farming livelihood</w:t>
      </w:r>
      <w:r w:rsidRPr="008B086D">
        <w:rPr>
          <w:rFonts w:ascii="Gill Sans MT" w:eastAsia="Gill Sans MT" w:hAnsi="Gill Sans MT" w:cs="Gill Sans MT"/>
          <w:kern w:val="0"/>
          <w:lang w:val="en-GB"/>
          <w14:ligatures w14:val="none"/>
        </w:rPr>
        <w:t>. The chapter effectively shows how conservation and planning bureaucracies depolitici</w:t>
      </w:r>
      <w:r w:rsidR="00FB4E2F" w:rsidRPr="008B086D">
        <w:rPr>
          <w:rFonts w:ascii="Gill Sans MT" w:eastAsia="Gill Sans MT" w:hAnsi="Gill Sans MT" w:cs="Gill Sans MT"/>
          <w:kern w:val="0"/>
          <w:lang w:val="en-GB"/>
          <w14:ligatures w14:val="none"/>
        </w:rPr>
        <w:t>s</w:t>
      </w:r>
      <w:r w:rsidRPr="008B086D">
        <w:rPr>
          <w:rFonts w:ascii="Gill Sans MT" w:eastAsia="Gill Sans MT" w:hAnsi="Gill Sans MT" w:cs="Gill Sans MT"/>
          <w:kern w:val="0"/>
          <w:lang w:val="en-GB"/>
          <w14:ligatures w14:val="none"/>
        </w:rPr>
        <w:t xml:space="preserve">e resource allocation </w:t>
      </w:r>
      <w:r w:rsidR="00237802" w:rsidRPr="008B086D">
        <w:rPr>
          <w:rFonts w:ascii="Gill Sans MT" w:eastAsia="Gill Sans MT" w:hAnsi="Gill Sans MT" w:cs="Gill Sans MT"/>
          <w:kern w:val="0"/>
          <w:lang w:val="en-GB"/>
          <w14:ligatures w14:val="none"/>
        </w:rPr>
        <w:t xml:space="preserve">in their discourses </w:t>
      </w:r>
      <w:r w:rsidRPr="008B086D">
        <w:rPr>
          <w:rFonts w:ascii="Gill Sans MT" w:eastAsia="Gill Sans MT" w:hAnsi="Gill Sans MT" w:cs="Gill Sans MT"/>
          <w:kern w:val="0"/>
          <w:lang w:val="en-GB"/>
          <w14:ligatures w14:val="none"/>
        </w:rPr>
        <w:t>while still dispossessi</w:t>
      </w:r>
      <w:r w:rsidR="00237802" w:rsidRPr="008B086D">
        <w:rPr>
          <w:rFonts w:ascii="Gill Sans MT" w:eastAsia="Gill Sans MT" w:hAnsi="Gill Sans MT" w:cs="Gill Sans MT"/>
          <w:kern w:val="0"/>
          <w:lang w:val="en-GB"/>
          <w14:ligatures w14:val="none"/>
        </w:rPr>
        <w:t>ng Palestinians</w:t>
      </w:r>
      <w:r w:rsidR="00CD76BB" w:rsidRPr="008B086D">
        <w:rPr>
          <w:rFonts w:ascii="Gill Sans MT" w:eastAsia="Gill Sans MT" w:hAnsi="Gill Sans MT" w:cs="Gill Sans MT"/>
          <w:kern w:val="0"/>
          <w:lang w:val="en-GB"/>
          <w14:ligatures w14:val="none"/>
        </w:rPr>
        <w:t xml:space="preserve"> of their land</w:t>
      </w:r>
      <w:r w:rsidR="004E22DA" w:rsidRPr="008B086D">
        <w:rPr>
          <w:rFonts w:ascii="Gill Sans MT" w:eastAsia="Gill Sans MT" w:hAnsi="Gill Sans MT" w:cs="Gill Sans MT"/>
          <w:kern w:val="0"/>
          <w:lang w:val="en-GB"/>
          <w14:ligatures w14:val="none"/>
        </w:rPr>
        <w:t xml:space="preserve"> </w:t>
      </w:r>
      <w:r w:rsidR="008C0D1A" w:rsidRPr="008B086D">
        <w:rPr>
          <w:rFonts w:ascii="Gill Sans MT" w:eastAsia="Gill Sans MT" w:hAnsi="Gill Sans MT" w:cs="Gill Sans MT"/>
          <w:kern w:val="0"/>
          <w:lang w:val="en-GB"/>
          <w14:ligatures w14:val="none"/>
        </w:rPr>
        <w:t>and allocat</w:t>
      </w:r>
      <w:r w:rsidR="004D72FE" w:rsidRPr="008B086D">
        <w:rPr>
          <w:rFonts w:ascii="Gill Sans MT" w:eastAsia="Gill Sans MT" w:hAnsi="Gill Sans MT" w:cs="Gill Sans MT"/>
          <w:kern w:val="0"/>
          <w:lang w:val="en-GB"/>
          <w14:ligatures w14:val="none"/>
        </w:rPr>
        <w:t>ing resources, such as</w:t>
      </w:r>
      <w:r w:rsidR="008C0D1A" w:rsidRPr="008B086D">
        <w:rPr>
          <w:rFonts w:ascii="Gill Sans MT" w:eastAsia="Gill Sans MT" w:hAnsi="Gill Sans MT" w:cs="Gill Sans MT"/>
          <w:kern w:val="0"/>
          <w:lang w:val="en-GB"/>
          <w14:ligatures w14:val="none"/>
        </w:rPr>
        <w:t xml:space="preserve"> water</w:t>
      </w:r>
      <w:r w:rsidR="004D72FE" w:rsidRPr="008B086D">
        <w:rPr>
          <w:rFonts w:ascii="Gill Sans MT" w:eastAsia="Gill Sans MT" w:hAnsi="Gill Sans MT" w:cs="Gill Sans MT"/>
          <w:kern w:val="0"/>
          <w:lang w:val="en-GB"/>
          <w14:ligatures w14:val="none"/>
        </w:rPr>
        <w:t>,</w:t>
      </w:r>
      <w:r w:rsidR="008C0D1A" w:rsidRPr="008B086D">
        <w:rPr>
          <w:rFonts w:ascii="Gill Sans MT" w:eastAsia="Gill Sans MT" w:hAnsi="Gill Sans MT" w:cs="Gill Sans MT"/>
          <w:kern w:val="0"/>
          <w:lang w:val="en-GB"/>
          <w14:ligatures w14:val="none"/>
        </w:rPr>
        <w:t xml:space="preserve"> to favour neighbouring Israeli Jewish farms</w:t>
      </w:r>
      <w:r w:rsidRPr="008B086D">
        <w:rPr>
          <w:rFonts w:ascii="Gill Sans MT" w:eastAsia="Gill Sans MT" w:hAnsi="Gill Sans MT" w:cs="Gill Sans MT"/>
          <w:kern w:val="0"/>
          <w:lang w:val="en-GB"/>
          <w14:ligatures w14:val="none"/>
        </w:rPr>
        <w:t>.</w:t>
      </w:r>
    </w:p>
    <w:p w14:paraId="7E0E0DE0" w14:textId="520EA6BC" w:rsidR="00DE7B0B" w:rsidRPr="008B086D" w:rsidRDefault="008C0D1A"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The second chapter</w:t>
      </w:r>
      <w:r w:rsidR="006849AE" w:rsidRPr="008B086D">
        <w:rPr>
          <w:rFonts w:ascii="Gill Sans MT" w:eastAsia="Gill Sans MT" w:hAnsi="Gill Sans MT" w:cs="Gill Sans MT"/>
          <w:kern w:val="0"/>
          <w:lang w:val="en-GB"/>
          <w14:ligatures w14:val="none"/>
        </w:rPr>
        <w:t xml:space="preserve">, </w:t>
      </w:r>
      <w:r w:rsidR="00542B19" w:rsidRPr="008B086D">
        <w:rPr>
          <w:rFonts w:ascii="Gill Sans MT" w:eastAsia="Gill Sans MT" w:hAnsi="Gill Sans MT" w:cs="Gill Sans MT"/>
          <w:kern w:val="0"/>
          <w:lang w:val="en-GB"/>
          <w14:ligatures w14:val="none"/>
        </w:rPr>
        <w:t xml:space="preserve">‘Returning to the </w:t>
      </w:r>
      <w:r w:rsidR="00FD76F7" w:rsidRPr="008B086D">
        <w:rPr>
          <w:rFonts w:ascii="Gill Sans MT" w:eastAsia="Gill Sans MT" w:hAnsi="Gill Sans MT" w:cs="Gill Sans MT"/>
          <w:kern w:val="0"/>
          <w:lang w:val="en-GB"/>
          <w14:ligatures w14:val="none"/>
        </w:rPr>
        <w:t>s</w:t>
      </w:r>
      <w:r w:rsidR="00542B19" w:rsidRPr="008B086D">
        <w:rPr>
          <w:rFonts w:ascii="Gill Sans MT" w:eastAsia="Gill Sans MT" w:hAnsi="Gill Sans MT" w:cs="Gill Sans MT"/>
          <w:kern w:val="0"/>
          <w:lang w:val="en-GB"/>
          <w14:ligatures w14:val="none"/>
        </w:rPr>
        <w:t xml:space="preserve">eventh year’, </w:t>
      </w:r>
      <w:r w:rsidR="00265444" w:rsidRPr="008B086D">
        <w:rPr>
          <w:rFonts w:ascii="Gill Sans MT" w:eastAsia="Gill Sans MT" w:hAnsi="Gill Sans MT" w:cs="Gill Sans MT"/>
          <w:kern w:val="0"/>
          <w:lang w:val="en-GB"/>
          <w14:ligatures w14:val="none"/>
        </w:rPr>
        <w:t>tracks the institutionali</w:t>
      </w:r>
      <w:r w:rsidR="00FB4E2F" w:rsidRPr="008B086D">
        <w:rPr>
          <w:rFonts w:ascii="Gill Sans MT" w:eastAsia="Gill Sans MT" w:hAnsi="Gill Sans MT" w:cs="Gill Sans MT"/>
          <w:kern w:val="0"/>
          <w:lang w:val="en-GB"/>
          <w14:ligatures w14:val="none"/>
        </w:rPr>
        <w:t>s</w:t>
      </w:r>
      <w:r w:rsidR="00265444" w:rsidRPr="008B086D">
        <w:rPr>
          <w:rFonts w:ascii="Gill Sans MT" w:eastAsia="Gill Sans MT" w:hAnsi="Gill Sans MT" w:cs="Gill Sans MT"/>
          <w:kern w:val="0"/>
          <w:lang w:val="en-GB"/>
          <w14:ligatures w14:val="none"/>
        </w:rPr>
        <w:t xml:space="preserve">ation of </w:t>
      </w:r>
      <w:r w:rsidR="00265444" w:rsidRPr="008B086D">
        <w:rPr>
          <w:rFonts w:ascii="Gill Sans MT" w:eastAsia="Gill Sans MT" w:hAnsi="Gill Sans MT" w:cs="Gill Sans MT"/>
          <w:i/>
          <w:iCs/>
          <w:kern w:val="0"/>
          <w:lang w:val="en-GB"/>
          <w14:ligatures w14:val="none"/>
        </w:rPr>
        <w:t>shmita</w:t>
      </w:r>
      <w:r w:rsidR="004D72FE" w:rsidRPr="008B086D">
        <w:rPr>
          <w:rFonts w:ascii="Gill Sans MT" w:eastAsia="Gill Sans MT" w:hAnsi="Gill Sans MT" w:cs="Gill Sans MT"/>
          <w:kern w:val="0"/>
          <w:lang w:val="en-GB"/>
          <w14:ligatures w14:val="none"/>
        </w:rPr>
        <w:t xml:space="preserve">, </w:t>
      </w:r>
      <w:r w:rsidR="00265444" w:rsidRPr="008B086D">
        <w:rPr>
          <w:rFonts w:ascii="Gill Sans MT" w:eastAsia="Gill Sans MT" w:hAnsi="Gill Sans MT" w:cs="Gill Sans MT"/>
          <w:kern w:val="0"/>
          <w:lang w:val="en-GB"/>
          <w14:ligatures w14:val="none"/>
        </w:rPr>
        <w:t>the biblical</w:t>
      </w:r>
      <w:r w:rsidR="00FB4E2F" w:rsidRPr="008B086D">
        <w:rPr>
          <w:rFonts w:ascii="Gill Sans MT" w:eastAsia="Gill Sans MT" w:hAnsi="Gill Sans MT" w:cs="Gill Sans MT"/>
          <w:kern w:val="0"/>
          <w:lang w:val="en-GB"/>
          <w14:ligatures w14:val="none"/>
        </w:rPr>
        <w:t>ly</w:t>
      </w:r>
      <w:r w:rsidR="00265444" w:rsidRPr="008B086D">
        <w:rPr>
          <w:rFonts w:ascii="Gill Sans MT" w:eastAsia="Gill Sans MT" w:hAnsi="Gill Sans MT" w:cs="Gill Sans MT"/>
          <w:kern w:val="0"/>
          <w:lang w:val="en-GB"/>
          <w14:ligatures w14:val="none"/>
        </w:rPr>
        <w:t xml:space="preserve"> </w:t>
      </w:r>
      <w:r w:rsidR="00971FB2" w:rsidRPr="008B086D">
        <w:rPr>
          <w:rFonts w:ascii="Gill Sans MT" w:eastAsia="Gill Sans MT" w:hAnsi="Gill Sans MT" w:cs="Gill Sans MT"/>
          <w:kern w:val="0"/>
          <w:lang w:val="en-GB"/>
          <w14:ligatures w14:val="none"/>
        </w:rPr>
        <w:t xml:space="preserve">mandated </w:t>
      </w:r>
      <w:r w:rsidR="00265444" w:rsidRPr="008B086D">
        <w:rPr>
          <w:rFonts w:ascii="Gill Sans MT" w:eastAsia="Gill Sans MT" w:hAnsi="Gill Sans MT" w:cs="Gill Sans MT"/>
          <w:kern w:val="0"/>
          <w:lang w:val="en-GB"/>
          <w14:ligatures w14:val="none"/>
        </w:rPr>
        <w:t>sabbatical year for the land</w:t>
      </w:r>
      <w:r w:rsidR="004D72FE" w:rsidRPr="008B086D">
        <w:rPr>
          <w:rFonts w:ascii="Gill Sans MT" w:eastAsia="Gill Sans MT" w:hAnsi="Gill Sans MT" w:cs="Gill Sans MT"/>
          <w:kern w:val="0"/>
          <w:lang w:val="en-GB"/>
          <w14:ligatures w14:val="none"/>
        </w:rPr>
        <w:t xml:space="preserve"> every seven years, </w:t>
      </w:r>
      <w:r w:rsidR="00265444" w:rsidRPr="008B086D">
        <w:rPr>
          <w:rFonts w:ascii="Gill Sans MT" w:eastAsia="Gill Sans MT" w:hAnsi="Gill Sans MT" w:cs="Gill Sans MT"/>
          <w:kern w:val="0"/>
          <w:lang w:val="en-GB"/>
          <w14:ligatures w14:val="none"/>
        </w:rPr>
        <w:t xml:space="preserve">into a modern regime of </w:t>
      </w:r>
      <w:r w:rsidR="00745C3C" w:rsidRPr="008B086D">
        <w:rPr>
          <w:rFonts w:ascii="Gill Sans MT" w:eastAsia="Gill Sans MT" w:hAnsi="Gill Sans MT" w:cs="Gill Sans MT"/>
          <w:kern w:val="0"/>
          <w:lang w:val="en-GB"/>
          <w14:ligatures w14:val="none"/>
        </w:rPr>
        <w:t>agricultural</w:t>
      </w:r>
      <w:r w:rsidR="00265444" w:rsidRPr="008B086D">
        <w:rPr>
          <w:rFonts w:ascii="Gill Sans MT" w:eastAsia="Gill Sans MT" w:hAnsi="Gill Sans MT" w:cs="Gill Sans MT"/>
          <w:kern w:val="0"/>
          <w:lang w:val="en-GB"/>
          <w14:ligatures w14:val="none"/>
        </w:rPr>
        <w:t xml:space="preserve"> governance. Here, scripture becomes policy: </w:t>
      </w:r>
      <w:r w:rsidR="00265444" w:rsidRPr="008B086D">
        <w:rPr>
          <w:rFonts w:ascii="Gill Sans MT" w:eastAsia="Gill Sans MT" w:hAnsi="Gill Sans MT" w:cs="Gill Sans MT"/>
          <w:i/>
          <w:iCs/>
          <w:kern w:val="0"/>
          <w:lang w:val="en-GB"/>
          <w14:ligatures w14:val="none"/>
        </w:rPr>
        <w:t>shmita</w:t>
      </w:r>
      <w:r w:rsidR="00265444" w:rsidRPr="008B086D">
        <w:rPr>
          <w:rFonts w:ascii="Gill Sans MT" w:eastAsia="Gill Sans MT" w:hAnsi="Gill Sans MT" w:cs="Gill Sans MT"/>
          <w:kern w:val="0"/>
          <w:lang w:val="en-GB"/>
          <w14:ligatures w14:val="none"/>
        </w:rPr>
        <w:t xml:space="preserve"> is mobili</w:t>
      </w:r>
      <w:r w:rsidR="00FB4E2F" w:rsidRPr="008B086D">
        <w:rPr>
          <w:rFonts w:ascii="Gill Sans MT" w:eastAsia="Gill Sans MT" w:hAnsi="Gill Sans MT" w:cs="Gill Sans MT"/>
          <w:kern w:val="0"/>
          <w:lang w:val="en-GB"/>
          <w14:ligatures w14:val="none"/>
        </w:rPr>
        <w:t>s</w:t>
      </w:r>
      <w:r w:rsidR="00265444" w:rsidRPr="008B086D">
        <w:rPr>
          <w:rFonts w:ascii="Gill Sans MT" w:eastAsia="Gill Sans MT" w:hAnsi="Gill Sans MT" w:cs="Gill Sans MT"/>
          <w:kern w:val="0"/>
          <w:lang w:val="en-GB"/>
          <w14:ligatures w14:val="none"/>
        </w:rPr>
        <w:t xml:space="preserve">ed to perform Jewish indigeneity through agricultural time, </w:t>
      </w:r>
      <w:r w:rsidR="00F86B63" w:rsidRPr="008B086D">
        <w:rPr>
          <w:rFonts w:ascii="Gill Sans MT" w:eastAsia="Gill Sans MT" w:hAnsi="Gill Sans MT" w:cs="Gill Sans MT"/>
          <w:kern w:val="0"/>
          <w:lang w:val="en-GB"/>
          <w14:ligatures w14:val="none"/>
        </w:rPr>
        <w:t xml:space="preserve">while </w:t>
      </w:r>
      <w:r w:rsidR="00497B8D" w:rsidRPr="008B086D">
        <w:rPr>
          <w:rFonts w:ascii="Gill Sans MT" w:eastAsia="Gill Sans MT" w:hAnsi="Gill Sans MT" w:cs="Gill Sans MT"/>
          <w:kern w:val="0"/>
          <w:lang w:val="en-GB"/>
          <w14:ligatures w14:val="none"/>
        </w:rPr>
        <w:t xml:space="preserve">the state </w:t>
      </w:r>
      <w:r w:rsidR="004605D9" w:rsidRPr="008B086D">
        <w:rPr>
          <w:rFonts w:ascii="Gill Sans MT" w:eastAsia="Gill Sans MT" w:hAnsi="Gill Sans MT" w:cs="Gill Sans MT"/>
          <w:kern w:val="0"/>
          <w:lang w:val="en-GB"/>
          <w14:ligatures w14:val="none"/>
        </w:rPr>
        <w:t>must</w:t>
      </w:r>
      <w:r w:rsidR="00497B8D" w:rsidRPr="008B086D">
        <w:rPr>
          <w:rFonts w:ascii="Gill Sans MT" w:eastAsia="Gill Sans MT" w:hAnsi="Gill Sans MT" w:cs="Gill Sans MT"/>
          <w:kern w:val="0"/>
          <w:lang w:val="en-GB"/>
          <w14:ligatures w14:val="none"/>
        </w:rPr>
        <w:t xml:space="preserve"> heavily spend to </w:t>
      </w:r>
      <w:r w:rsidR="00F86B63" w:rsidRPr="008B086D">
        <w:rPr>
          <w:rFonts w:ascii="Gill Sans MT" w:eastAsia="Gill Sans MT" w:hAnsi="Gill Sans MT" w:cs="Gill Sans MT"/>
          <w:kern w:val="0"/>
          <w:lang w:val="en-GB"/>
          <w14:ligatures w14:val="none"/>
        </w:rPr>
        <w:t>manage the resulting economic challenges</w:t>
      </w:r>
      <w:r w:rsidR="00C13E30" w:rsidRPr="008B086D">
        <w:rPr>
          <w:rFonts w:ascii="Gill Sans MT" w:eastAsia="Gill Sans MT" w:hAnsi="Gill Sans MT" w:cs="Gill Sans MT"/>
          <w:kern w:val="0"/>
          <w:lang w:val="en-GB"/>
          <w14:ligatures w14:val="none"/>
        </w:rPr>
        <w:t xml:space="preserve"> of a legally imposed fallow year every seven years</w:t>
      </w:r>
      <w:r w:rsidR="00F86B63" w:rsidRPr="008B086D">
        <w:rPr>
          <w:rFonts w:ascii="Gill Sans MT" w:eastAsia="Gill Sans MT" w:hAnsi="Gill Sans MT" w:cs="Gill Sans MT"/>
          <w:kern w:val="0"/>
          <w:lang w:val="en-GB"/>
          <w14:ligatures w14:val="none"/>
        </w:rPr>
        <w:t xml:space="preserve"> </w:t>
      </w:r>
      <w:r w:rsidR="00265444" w:rsidRPr="008B086D">
        <w:rPr>
          <w:rFonts w:ascii="Gill Sans MT" w:eastAsia="Gill Sans MT" w:hAnsi="Gill Sans MT" w:cs="Gill Sans MT"/>
          <w:kern w:val="0"/>
          <w:lang w:val="en-GB"/>
          <w14:ligatures w14:val="none"/>
        </w:rPr>
        <w:t xml:space="preserve">(temporary land sales, certification schemes, </w:t>
      </w:r>
      <w:r w:rsidR="00F86B63" w:rsidRPr="008B086D">
        <w:rPr>
          <w:rFonts w:ascii="Gill Sans MT" w:eastAsia="Gill Sans MT" w:hAnsi="Gill Sans MT" w:cs="Gill Sans MT"/>
          <w:kern w:val="0"/>
          <w:lang w:val="en-GB"/>
          <w14:ligatures w14:val="none"/>
        </w:rPr>
        <w:t xml:space="preserve">off-ground </w:t>
      </w:r>
      <w:r w:rsidR="00265444" w:rsidRPr="008B086D">
        <w:rPr>
          <w:rFonts w:ascii="Gill Sans MT" w:eastAsia="Gill Sans MT" w:hAnsi="Gill Sans MT" w:cs="Gill Sans MT"/>
          <w:kern w:val="0"/>
          <w:lang w:val="en-GB"/>
          <w14:ligatures w14:val="none"/>
        </w:rPr>
        <w:t>container cultivation)</w:t>
      </w:r>
      <w:r w:rsidR="00DC63C7" w:rsidRPr="008B086D">
        <w:rPr>
          <w:rFonts w:ascii="Gill Sans MT" w:eastAsia="Gill Sans MT" w:hAnsi="Gill Sans MT" w:cs="Gill Sans MT"/>
          <w:kern w:val="0"/>
          <w:lang w:val="en-GB"/>
          <w14:ligatures w14:val="none"/>
        </w:rPr>
        <w:t>.</w:t>
      </w:r>
      <w:r w:rsidR="00265444" w:rsidRPr="008B086D">
        <w:rPr>
          <w:rFonts w:ascii="Gill Sans MT" w:eastAsia="Gill Sans MT" w:hAnsi="Gill Sans MT" w:cs="Gill Sans MT"/>
          <w:kern w:val="0"/>
          <w:lang w:val="en-GB"/>
          <w14:ligatures w14:val="none"/>
        </w:rPr>
        <w:t xml:space="preserve"> Gutkowski juxtaposes the state’s energetic accommodation of </w:t>
      </w:r>
      <w:r w:rsidR="00265444" w:rsidRPr="008B086D">
        <w:rPr>
          <w:rFonts w:ascii="Gill Sans MT" w:eastAsia="Gill Sans MT" w:hAnsi="Gill Sans MT" w:cs="Gill Sans MT"/>
          <w:i/>
          <w:iCs/>
          <w:kern w:val="0"/>
          <w:lang w:val="en-GB"/>
          <w14:ligatures w14:val="none"/>
        </w:rPr>
        <w:t>shmita</w:t>
      </w:r>
      <w:r w:rsidR="00265444" w:rsidRPr="008B086D">
        <w:rPr>
          <w:rFonts w:ascii="Gill Sans MT" w:eastAsia="Gill Sans MT" w:hAnsi="Gill Sans MT" w:cs="Gill Sans MT"/>
          <w:kern w:val="0"/>
          <w:lang w:val="en-GB"/>
          <w14:ligatures w14:val="none"/>
        </w:rPr>
        <w:t xml:space="preserve"> with its neglect of Muslim inheritance law that fragments Palestinian holdings, underscoring selective temporal legality. The chapter</w:t>
      </w:r>
      <w:r w:rsidR="00A94993" w:rsidRPr="008B086D">
        <w:rPr>
          <w:rFonts w:ascii="Gill Sans MT" w:eastAsia="Gill Sans MT" w:hAnsi="Gill Sans MT" w:cs="Gill Sans MT"/>
          <w:kern w:val="0"/>
          <w:lang w:val="en-GB"/>
          <w14:ligatures w14:val="none"/>
        </w:rPr>
        <w:t xml:space="preserve"> also further</w:t>
      </w:r>
      <w:r w:rsidR="00265444" w:rsidRPr="008B086D">
        <w:rPr>
          <w:rFonts w:ascii="Gill Sans MT" w:eastAsia="Gill Sans MT" w:hAnsi="Gill Sans MT" w:cs="Gill Sans MT"/>
          <w:kern w:val="0"/>
          <w:lang w:val="en-GB"/>
          <w14:ligatures w14:val="none"/>
        </w:rPr>
        <w:t xml:space="preserve"> complicates the familiar axiom that settler colonialism is </w:t>
      </w:r>
      <w:r w:rsidR="00AA49AC" w:rsidRPr="008B086D">
        <w:rPr>
          <w:rFonts w:ascii="Gill Sans MT" w:eastAsia="Gill Sans MT" w:hAnsi="Gill Sans MT" w:cs="Gill Sans MT"/>
          <w:kern w:val="0"/>
          <w:lang w:val="en-GB"/>
          <w14:ligatures w14:val="none"/>
        </w:rPr>
        <w:t>‘</w:t>
      </w:r>
      <w:r w:rsidR="00265444" w:rsidRPr="008B086D">
        <w:rPr>
          <w:rFonts w:ascii="Gill Sans MT" w:eastAsia="Gill Sans MT" w:hAnsi="Gill Sans MT" w:cs="Gill Sans MT"/>
          <w:kern w:val="0"/>
          <w:lang w:val="en-GB"/>
          <w14:ligatures w14:val="none"/>
        </w:rPr>
        <w:t>a struggle of land over labo</w:t>
      </w:r>
      <w:r w:rsidR="00F04AE9" w:rsidRPr="008B086D">
        <w:rPr>
          <w:rFonts w:ascii="Gill Sans MT" w:eastAsia="Gill Sans MT" w:hAnsi="Gill Sans MT" w:cs="Gill Sans MT"/>
          <w:kern w:val="0"/>
          <w:lang w:val="en-GB"/>
          <w14:ligatures w14:val="none"/>
        </w:rPr>
        <w:t>u</w:t>
      </w:r>
      <w:r w:rsidR="00265444" w:rsidRPr="008B086D">
        <w:rPr>
          <w:rFonts w:ascii="Gill Sans MT" w:eastAsia="Gill Sans MT" w:hAnsi="Gill Sans MT" w:cs="Gill Sans MT"/>
          <w:kern w:val="0"/>
          <w:lang w:val="en-GB"/>
          <w14:ligatures w14:val="none"/>
        </w:rPr>
        <w:t>r</w:t>
      </w:r>
      <w:r w:rsidR="00AA49AC" w:rsidRPr="008B086D">
        <w:rPr>
          <w:rFonts w:ascii="Gill Sans MT" w:eastAsia="Gill Sans MT" w:hAnsi="Gill Sans MT" w:cs="Gill Sans MT"/>
          <w:kern w:val="0"/>
          <w:lang w:val="en-GB"/>
          <w14:ligatures w14:val="none"/>
        </w:rPr>
        <w:t>’</w:t>
      </w:r>
      <w:r w:rsidR="00074129" w:rsidRPr="008B086D">
        <w:rPr>
          <w:rFonts w:ascii="Gill Sans MT" w:eastAsia="Gill Sans MT" w:hAnsi="Gill Sans MT" w:cs="Gill Sans MT"/>
          <w:kern w:val="0"/>
          <w:lang w:val="en-GB"/>
          <w14:ligatures w14:val="none"/>
        </w:rPr>
        <w:t>,</w:t>
      </w:r>
      <w:r w:rsidR="00265444" w:rsidRPr="008B086D">
        <w:rPr>
          <w:rFonts w:ascii="Gill Sans MT" w:eastAsia="Gill Sans MT" w:hAnsi="Gill Sans MT" w:cs="Gill Sans MT"/>
          <w:kern w:val="0"/>
          <w:lang w:val="en-GB"/>
          <w14:ligatures w14:val="none"/>
        </w:rPr>
        <w:t xml:space="preserve"> by showing how labo</w:t>
      </w:r>
      <w:r w:rsidR="00F04AE9" w:rsidRPr="008B086D">
        <w:rPr>
          <w:rFonts w:ascii="Gill Sans MT" w:eastAsia="Gill Sans MT" w:hAnsi="Gill Sans MT" w:cs="Gill Sans MT"/>
          <w:kern w:val="0"/>
          <w:lang w:val="en-GB"/>
          <w14:ligatures w14:val="none"/>
        </w:rPr>
        <w:t>u</w:t>
      </w:r>
      <w:r w:rsidR="00265444" w:rsidRPr="008B086D">
        <w:rPr>
          <w:rFonts w:ascii="Gill Sans MT" w:eastAsia="Gill Sans MT" w:hAnsi="Gill Sans MT" w:cs="Gill Sans MT"/>
          <w:kern w:val="0"/>
          <w:lang w:val="en-GB"/>
          <w14:ligatures w14:val="none"/>
        </w:rPr>
        <w:t>r</w:t>
      </w:r>
      <w:r w:rsidR="00074129" w:rsidRPr="008B086D">
        <w:rPr>
          <w:rFonts w:ascii="Gill Sans MT" w:eastAsia="Gill Sans MT" w:hAnsi="Gill Sans MT" w:cs="Gill Sans MT"/>
          <w:kern w:val="0"/>
          <w:lang w:val="en-GB"/>
          <w14:ligatures w14:val="none"/>
        </w:rPr>
        <w:t xml:space="preserve"> opportunities for Palestinians are </w:t>
      </w:r>
      <w:r w:rsidR="00A94993" w:rsidRPr="008B086D">
        <w:rPr>
          <w:rFonts w:ascii="Gill Sans MT" w:eastAsia="Gill Sans MT" w:hAnsi="Gill Sans MT" w:cs="Gill Sans MT"/>
          <w:kern w:val="0"/>
          <w:lang w:val="en-GB"/>
          <w14:ligatures w14:val="none"/>
        </w:rPr>
        <w:t xml:space="preserve">inherently dependent upon </w:t>
      </w:r>
      <w:r w:rsidR="00074129" w:rsidRPr="008B086D">
        <w:rPr>
          <w:rFonts w:ascii="Gill Sans MT" w:eastAsia="Gill Sans MT" w:hAnsi="Gill Sans MT" w:cs="Gill Sans MT"/>
          <w:kern w:val="0"/>
          <w:lang w:val="en-GB"/>
          <w14:ligatures w14:val="none"/>
        </w:rPr>
        <w:t xml:space="preserve">Jewish </w:t>
      </w:r>
      <w:r w:rsidR="00A94993" w:rsidRPr="008B086D">
        <w:rPr>
          <w:rFonts w:ascii="Gill Sans MT" w:eastAsia="Gill Sans MT" w:hAnsi="Gill Sans MT" w:cs="Gill Sans MT"/>
          <w:kern w:val="0"/>
          <w:lang w:val="en-GB"/>
          <w14:ligatures w14:val="none"/>
        </w:rPr>
        <w:t xml:space="preserve">religious </w:t>
      </w:r>
      <w:r w:rsidR="00265444" w:rsidRPr="008B086D">
        <w:rPr>
          <w:rFonts w:ascii="Gill Sans MT" w:eastAsia="Gill Sans MT" w:hAnsi="Gill Sans MT" w:cs="Gill Sans MT"/>
          <w:kern w:val="0"/>
          <w:lang w:val="en-GB"/>
          <w14:ligatures w14:val="none"/>
        </w:rPr>
        <w:t>calendars.</w:t>
      </w:r>
      <w:r w:rsidR="008368D4" w:rsidRPr="008B086D">
        <w:rPr>
          <w:rFonts w:ascii="Gill Sans MT" w:eastAsia="Gill Sans MT" w:hAnsi="Gill Sans MT" w:cs="Gill Sans MT"/>
          <w:kern w:val="0"/>
          <w:lang w:val="en-GB"/>
          <w14:ligatures w14:val="none"/>
        </w:rPr>
        <w:t xml:space="preserve"> Palestinian producers often fare best in </w:t>
      </w:r>
      <w:r w:rsidR="008368D4" w:rsidRPr="008B086D">
        <w:rPr>
          <w:rFonts w:ascii="Gill Sans MT" w:eastAsia="Gill Sans MT" w:hAnsi="Gill Sans MT" w:cs="Gill Sans MT"/>
          <w:i/>
          <w:iCs/>
          <w:kern w:val="0"/>
          <w:lang w:val="en-GB"/>
          <w14:ligatures w14:val="none"/>
        </w:rPr>
        <w:t>shmita</w:t>
      </w:r>
      <w:r w:rsidR="008368D4" w:rsidRPr="008B086D">
        <w:rPr>
          <w:rFonts w:ascii="Gill Sans MT" w:eastAsia="Gill Sans MT" w:hAnsi="Gill Sans MT" w:cs="Gill Sans MT"/>
          <w:kern w:val="0"/>
          <w:lang w:val="en-GB"/>
          <w14:ligatures w14:val="none"/>
        </w:rPr>
        <w:t xml:space="preserve"> years </w:t>
      </w:r>
      <w:r w:rsidR="00152788" w:rsidRPr="008B086D">
        <w:rPr>
          <w:rFonts w:ascii="Gill Sans MT" w:eastAsia="Gill Sans MT" w:hAnsi="Gill Sans MT" w:cs="Gill Sans MT"/>
          <w:kern w:val="0"/>
          <w:lang w:val="en-GB"/>
          <w14:ligatures w14:val="none"/>
        </w:rPr>
        <w:t xml:space="preserve">becoming practically </w:t>
      </w:r>
      <w:r w:rsidR="008368D4" w:rsidRPr="008B086D">
        <w:rPr>
          <w:rFonts w:ascii="Gill Sans MT" w:eastAsia="Gill Sans MT" w:hAnsi="Gill Sans MT" w:cs="Gill Sans MT"/>
          <w:kern w:val="0"/>
          <w:lang w:val="en-GB"/>
          <w14:ligatures w14:val="none"/>
        </w:rPr>
        <w:t>entangle</w:t>
      </w:r>
      <w:r w:rsidR="00152788" w:rsidRPr="008B086D">
        <w:rPr>
          <w:rFonts w:ascii="Gill Sans MT" w:eastAsia="Gill Sans MT" w:hAnsi="Gill Sans MT" w:cs="Gill Sans MT"/>
          <w:kern w:val="0"/>
          <w:lang w:val="en-GB"/>
          <w14:ligatures w14:val="none"/>
        </w:rPr>
        <w:t>d</w:t>
      </w:r>
      <w:r w:rsidR="008368D4" w:rsidRPr="008B086D">
        <w:rPr>
          <w:rFonts w:ascii="Gill Sans MT" w:eastAsia="Gill Sans MT" w:hAnsi="Gill Sans MT" w:cs="Gill Sans MT"/>
          <w:kern w:val="0"/>
          <w:lang w:val="en-GB"/>
          <w14:ligatures w14:val="none"/>
        </w:rPr>
        <w:t xml:space="preserve"> with </w:t>
      </w:r>
      <w:r w:rsidR="00152788" w:rsidRPr="008B086D">
        <w:rPr>
          <w:rFonts w:ascii="Gill Sans MT" w:eastAsia="Gill Sans MT" w:hAnsi="Gill Sans MT" w:cs="Gill Sans MT"/>
          <w:kern w:val="0"/>
          <w:lang w:val="en-GB"/>
          <w14:ligatures w14:val="none"/>
        </w:rPr>
        <w:t>such</w:t>
      </w:r>
      <w:r w:rsidR="008368D4" w:rsidRPr="008B086D">
        <w:rPr>
          <w:rFonts w:ascii="Gill Sans MT" w:eastAsia="Gill Sans MT" w:hAnsi="Gill Sans MT" w:cs="Gill Sans MT"/>
          <w:kern w:val="0"/>
          <w:lang w:val="en-GB"/>
          <w14:ligatures w14:val="none"/>
        </w:rPr>
        <w:t xml:space="preserve"> </w:t>
      </w:r>
      <w:r w:rsidR="00A311FF" w:rsidRPr="008B086D">
        <w:rPr>
          <w:rFonts w:ascii="Gill Sans MT" w:eastAsia="Gill Sans MT" w:hAnsi="Gill Sans MT" w:cs="Gill Sans MT"/>
          <w:kern w:val="0"/>
          <w:lang w:val="en-GB"/>
          <w14:ligatures w14:val="none"/>
        </w:rPr>
        <w:t>institutionali</w:t>
      </w:r>
      <w:r w:rsidR="00500025" w:rsidRPr="008B086D">
        <w:rPr>
          <w:rFonts w:ascii="Gill Sans MT" w:eastAsia="Gill Sans MT" w:hAnsi="Gill Sans MT" w:cs="Gill Sans MT"/>
          <w:kern w:val="0"/>
          <w:lang w:val="en-GB"/>
          <w14:ligatures w14:val="none"/>
        </w:rPr>
        <w:t>s</w:t>
      </w:r>
      <w:r w:rsidR="00A311FF" w:rsidRPr="008B086D">
        <w:rPr>
          <w:rFonts w:ascii="Gill Sans MT" w:eastAsia="Gill Sans MT" w:hAnsi="Gill Sans MT" w:cs="Gill Sans MT"/>
          <w:kern w:val="0"/>
          <w:lang w:val="en-GB"/>
          <w14:ligatures w14:val="none"/>
        </w:rPr>
        <w:t xml:space="preserve">ed time. </w:t>
      </w:r>
    </w:p>
    <w:p w14:paraId="5F5D6A8F" w14:textId="77777777" w:rsidR="00DE7B0B" w:rsidRPr="008B086D" w:rsidRDefault="000F5EEB"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 xml:space="preserve">Chapter three, ‘Cultivating time in an olive tree’, </w:t>
      </w:r>
      <w:r w:rsidR="002D2698" w:rsidRPr="008B086D">
        <w:rPr>
          <w:rFonts w:ascii="Gill Sans MT" w:eastAsia="Gill Sans MT" w:hAnsi="Gill Sans MT" w:cs="Gill Sans MT"/>
          <w:kern w:val="0"/>
          <w:lang w:val="en-GB"/>
          <w14:ligatures w14:val="none"/>
        </w:rPr>
        <w:t xml:space="preserve">powerfully </w:t>
      </w:r>
      <w:r w:rsidR="00F04AE9" w:rsidRPr="008B086D">
        <w:rPr>
          <w:rFonts w:ascii="Gill Sans MT" w:eastAsia="Gill Sans MT" w:hAnsi="Gill Sans MT" w:cs="Gill Sans MT"/>
          <w:kern w:val="0"/>
          <w:lang w:val="en-GB"/>
          <w14:ligatures w14:val="none"/>
        </w:rPr>
        <w:t>reveal</w:t>
      </w:r>
      <w:r w:rsidR="00A94993" w:rsidRPr="008B086D">
        <w:rPr>
          <w:rFonts w:ascii="Gill Sans MT" w:eastAsia="Gill Sans MT" w:hAnsi="Gill Sans MT" w:cs="Gill Sans MT"/>
          <w:kern w:val="0"/>
          <w:lang w:val="en-GB"/>
          <w14:ligatures w14:val="none"/>
        </w:rPr>
        <w:t>s</w:t>
      </w:r>
      <w:r w:rsidR="00F04AE9" w:rsidRPr="008B086D">
        <w:rPr>
          <w:rFonts w:ascii="Gill Sans MT" w:eastAsia="Gill Sans MT" w:hAnsi="Gill Sans MT" w:cs="Gill Sans MT"/>
          <w:kern w:val="0"/>
          <w:lang w:val="en-GB"/>
          <w14:ligatures w14:val="none"/>
        </w:rPr>
        <w:t xml:space="preserve"> how </w:t>
      </w:r>
      <w:r w:rsidR="00E14CBC" w:rsidRPr="008B086D">
        <w:rPr>
          <w:rFonts w:ascii="Gill Sans MT" w:eastAsia="Gill Sans MT" w:hAnsi="Gill Sans MT" w:cs="Gill Sans MT"/>
          <w:kern w:val="0"/>
          <w:lang w:val="en-GB"/>
          <w14:ligatures w14:val="none"/>
        </w:rPr>
        <w:t xml:space="preserve">time </w:t>
      </w:r>
      <w:r w:rsidR="004A22CB" w:rsidRPr="008B086D">
        <w:rPr>
          <w:rFonts w:ascii="Gill Sans MT" w:eastAsia="Gill Sans MT" w:hAnsi="Gill Sans MT" w:cs="Gill Sans MT"/>
          <w:kern w:val="0"/>
          <w:lang w:val="en-GB"/>
          <w14:ligatures w14:val="none"/>
        </w:rPr>
        <w:t xml:space="preserve">control reaches </w:t>
      </w:r>
      <w:r w:rsidR="00E14CBC" w:rsidRPr="008B086D">
        <w:rPr>
          <w:rFonts w:ascii="Gill Sans MT" w:eastAsia="Gill Sans MT" w:hAnsi="Gill Sans MT" w:cs="Gill Sans MT"/>
          <w:kern w:val="0"/>
          <w:lang w:val="en-GB"/>
          <w14:ligatures w14:val="none"/>
        </w:rPr>
        <w:t>the olive groves</w:t>
      </w:r>
      <w:r w:rsidR="00151F1D" w:rsidRPr="008B086D">
        <w:rPr>
          <w:rFonts w:ascii="Gill Sans MT" w:eastAsia="Gill Sans MT" w:hAnsi="Gill Sans MT" w:cs="Gill Sans MT"/>
          <w:kern w:val="0"/>
          <w:lang w:val="en-GB"/>
          <w14:ligatures w14:val="none"/>
        </w:rPr>
        <w:t xml:space="preserve">. </w:t>
      </w:r>
      <w:r w:rsidR="00F04AE9" w:rsidRPr="008B086D">
        <w:rPr>
          <w:rFonts w:ascii="Gill Sans MT" w:eastAsia="Gill Sans MT" w:hAnsi="Gill Sans MT" w:cs="Gill Sans MT"/>
          <w:kern w:val="0"/>
          <w:lang w:val="en-GB"/>
          <w14:ligatures w14:val="none"/>
        </w:rPr>
        <w:t xml:space="preserve">The development of the Barnea </w:t>
      </w:r>
      <w:r w:rsidR="00500025" w:rsidRPr="008B086D">
        <w:rPr>
          <w:rFonts w:ascii="Gill Sans MT" w:eastAsia="Gill Sans MT" w:hAnsi="Gill Sans MT" w:cs="Gill Sans MT"/>
          <w:kern w:val="0"/>
          <w:lang w:val="en-GB"/>
          <w14:ligatures w14:val="none"/>
        </w:rPr>
        <w:t xml:space="preserve">olive </w:t>
      </w:r>
      <w:r w:rsidR="00F04AE9" w:rsidRPr="008B086D">
        <w:rPr>
          <w:rFonts w:ascii="Gill Sans MT" w:eastAsia="Gill Sans MT" w:hAnsi="Gill Sans MT" w:cs="Gill Sans MT"/>
          <w:kern w:val="0"/>
          <w:lang w:val="en-GB"/>
          <w14:ligatures w14:val="none"/>
        </w:rPr>
        <w:t>cultivar</w:t>
      </w:r>
      <w:r w:rsidR="00500025" w:rsidRPr="008B086D">
        <w:rPr>
          <w:rFonts w:ascii="Gill Sans MT" w:eastAsia="Gill Sans MT" w:hAnsi="Gill Sans MT" w:cs="Gill Sans MT"/>
          <w:kern w:val="0"/>
          <w:lang w:val="en-GB"/>
          <w14:ligatures w14:val="none"/>
        </w:rPr>
        <w:t xml:space="preserve">, adapted to </w:t>
      </w:r>
      <w:r w:rsidR="00F04AE9" w:rsidRPr="008B086D">
        <w:rPr>
          <w:rFonts w:ascii="Gill Sans MT" w:eastAsia="Gill Sans MT" w:hAnsi="Gill Sans MT" w:cs="Gill Sans MT"/>
          <w:kern w:val="0"/>
          <w:lang w:val="en-GB"/>
          <w14:ligatures w14:val="none"/>
        </w:rPr>
        <w:t>irrigation</w:t>
      </w:r>
      <w:r w:rsidR="00500025" w:rsidRPr="008B086D">
        <w:rPr>
          <w:rFonts w:ascii="Gill Sans MT" w:eastAsia="Gill Sans MT" w:hAnsi="Gill Sans MT" w:cs="Gill Sans MT"/>
          <w:kern w:val="0"/>
          <w:lang w:val="en-GB"/>
          <w14:ligatures w14:val="none"/>
        </w:rPr>
        <w:t xml:space="preserve"> and</w:t>
      </w:r>
      <w:r w:rsidR="00F04AE9" w:rsidRPr="008B086D">
        <w:rPr>
          <w:rFonts w:ascii="Gill Sans MT" w:eastAsia="Gill Sans MT" w:hAnsi="Gill Sans MT" w:cs="Gill Sans MT"/>
          <w:kern w:val="0"/>
          <w:lang w:val="en-GB"/>
          <w14:ligatures w14:val="none"/>
        </w:rPr>
        <w:t xml:space="preserve"> with juvenility reduced from decades to a few years</w:t>
      </w:r>
      <w:r w:rsidR="00500025" w:rsidRPr="008B086D">
        <w:rPr>
          <w:rFonts w:ascii="Gill Sans MT" w:eastAsia="Gill Sans MT" w:hAnsi="Gill Sans MT" w:cs="Gill Sans MT"/>
          <w:kern w:val="0"/>
          <w:lang w:val="en-GB"/>
          <w14:ligatures w14:val="none"/>
        </w:rPr>
        <w:t xml:space="preserve">, shapes </w:t>
      </w:r>
      <w:r w:rsidR="00EE3125" w:rsidRPr="008B086D">
        <w:rPr>
          <w:rFonts w:ascii="Gill Sans MT" w:eastAsia="Gill Sans MT" w:hAnsi="Gill Sans MT" w:cs="Gill Sans MT"/>
          <w:kern w:val="0"/>
          <w:lang w:val="en-GB"/>
          <w14:ligatures w14:val="none"/>
        </w:rPr>
        <w:t xml:space="preserve">the life of olives </w:t>
      </w:r>
      <w:r w:rsidR="00F04AE9" w:rsidRPr="008B086D">
        <w:rPr>
          <w:rFonts w:ascii="Gill Sans MT" w:eastAsia="Gill Sans MT" w:hAnsi="Gill Sans MT" w:cs="Gill Sans MT"/>
          <w:kern w:val="0"/>
          <w:lang w:val="en-GB"/>
          <w14:ligatures w14:val="none"/>
        </w:rPr>
        <w:t xml:space="preserve">to fit industrial agriculture. </w:t>
      </w:r>
      <w:r w:rsidR="00DF5DB2" w:rsidRPr="008B086D">
        <w:rPr>
          <w:rFonts w:ascii="Gill Sans MT" w:eastAsia="Gill Sans MT" w:hAnsi="Gill Sans MT" w:cs="Gill Sans MT"/>
          <w:kern w:val="0"/>
          <w:lang w:val="en-GB"/>
          <w14:ligatures w14:val="none"/>
        </w:rPr>
        <w:t>In</w:t>
      </w:r>
      <w:r w:rsidR="00F04AE9" w:rsidRPr="008B086D">
        <w:rPr>
          <w:rFonts w:ascii="Gill Sans MT" w:eastAsia="Gill Sans MT" w:hAnsi="Gill Sans MT" w:cs="Gill Sans MT"/>
          <w:kern w:val="0"/>
          <w:lang w:val="en-GB"/>
          <w14:ligatures w14:val="none"/>
        </w:rPr>
        <w:t xml:space="preserve"> 2016, Palestinians still owned </w:t>
      </w:r>
      <w:r w:rsidR="00EE3125" w:rsidRPr="008B086D">
        <w:rPr>
          <w:rFonts w:ascii="Gill Sans MT" w:eastAsia="Gill Sans MT" w:hAnsi="Gill Sans MT" w:cs="Gill Sans MT"/>
          <w:kern w:val="0"/>
          <w:lang w:val="en-GB"/>
          <w14:ligatures w14:val="none"/>
        </w:rPr>
        <w:t>most</w:t>
      </w:r>
      <w:r w:rsidR="00F04AE9" w:rsidRPr="008B086D">
        <w:rPr>
          <w:rFonts w:ascii="Gill Sans MT" w:eastAsia="Gill Sans MT" w:hAnsi="Gill Sans MT" w:cs="Gill Sans MT"/>
          <w:kern w:val="0"/>
          <w:lang w:val="en-GB"/>
          <w14:ligatures w14:val="none"/>
        </w:rPr>
        <w:t xml:space="preserve"> olive groves inside Israel, yet Jewish industrial plantations </w:t>
      </w:r>
      <w:r w:rsidR="004601B6" w:rsidRPr="008B086D">
        <w:rPr>
          <w:rFonts w:ascii="Gill Sans MT" w:eastAsia="Gill Sans MT" w:hAnsi="Gill Sans MT" w:cs="Gill Sans MT"/>
          <w:kern w:val="0"/>
          <w:lang w:val="en-GB"/>
          <w14:ligatures w14:val="none"/>
        </w:rPr>
        <w:t xml:space="preserve">now </w:t>
      </w:r>
      <w:r w:rsidR="00F04AE9" w:rsidRPr="008B086D">
        <w:rPr>
          <w:rFonts w:ascii="Gill Sans MT" w:eastAsia="Gill Sans MT" w:hAnsi="Gill Sans MT" w:cs="Gill Sans MT"/>
          <w:kern w:val="0"/>
          <w:lang w:val="en-GB"/>
          <w14:ligatures w14:val="none"/>
        </w:rPr>
        <w:t>produce far more oil per hectare</w:t>
      </w:r>
      <w:r w:rsidR="00C921A8" w:rsidRPr="008B086D">
        <w:rPr>
          <w:rFonts w:ascii="Gill Sans MT" w:eastAsia="Gill Sans MT" w:hAnsi="Gill Sans MT" w:cs="Gill Sans MT"/>
          <w:kern w:val="0"/>
          <w:lang w:val="en-GB"/>
          <w14:ligatures w14:val="none"/>
        </w:rPr>
        <w:t>, overtaking Palestinian production</w:t>
      </w:r>
      <w:r w:rsidR="004601B6" w:rsidRPr="008B086D">
        <w:rPr>
          <w:rFonts w:ascii="Gill Sans MT" w:eastAsia="Gill Sans MT" w:hAnsi="Gill Sans MT" w:cs="Gill Sans MT"/>
          <w:kern w:val="0"/>
          <w:lang w:val="en-GB"/>
          <w14:ligatures w14:val="none"/>
        </w:rPr>
        <w:t xml:space="preserve"> in quantity and access to markets</w:t>
      </w:r>
      <w:r w:rsidR="00F04AE9" w:rsidRPr="008B086D">
        <w:rPr>
          <w:rFonts w:ascii="Gill Sans MT" w:eastAsia="Gill Sans MT" w:hAnsi="Gill Sans MT" w:cs="Gill Sans MT"/>
          <w:kern w:val="0"/>
          <w:lang w:val="en-GB"/>
          <w14:ligatures w14:val="none"/>
        </w:rPr>
        <w:t xml:space="preserve">. Meanwhile, Palestinian terraced groves are reframed as </w:t>
      </w:r>
      <w:r w:rsidR="00EE3125" w:rsidRPr="008B086D">
        <w:rPr>
          <w:rFonts w:ascii="Gill Sans MT" w:eastAsia="Gill Sans MT" w:hAnsi="Gill Sans MT" w:cs="Gill Sans MT"/>
          <w:kern w:val="0"/>
          <w:lang w:val="en-GB"/>
          <w14:ligatures w14:val="none"/>
        </w:rPr>
        <w:t>‘</w:t>
      </w:r>
      <w:r w:rsidR="00F04AE9" w:rsidRPr="008B086D">
        <w:rPr>
          <w:rFonts w:ascii="Gill Sans MT" w:eastAsia="Gill Sans MT" w:hAnsi="Gill Sans MT" w:cs="Gill Sans MT"/>
          <w:kern w:val="0"/>
          <w:lang w:val="en-GB"/>
          <w14:ligatures w14:val="none"/>
        </w:rPr>
        <w:t>biblical</w:t>
      </w:r>
      <w:r w:rsidR="00EE3125" w:rsidRPr="008B086D">
        <w:rPr>
          <w:rFonts w:ascii="Gill Sans MT" w:eastAsia="Gill Sans MT" w:hAnsi="Gill Sans MT" w:cs="Gill Sans MT"/>
          <w:kern w:val="0"/>
          <w:lang w:val="en-GB"/>
          <w14:ligatures w14:val="none"/>
        </w:rPr>
        <w:t>’</w:t>
      </w:r>
      <w:r w:rsidR="00F04AE9" w:rsidRPr="008B086D">
        <w:rPr>
          <w:rFonts w:ascii="Gill Sans MT" w:eastAsia="Gill Sans MT" w:hAnsi="Gill Sans MT" w:cs="Gill Sans MT"/>
          <w:kern w:val="0"/>
          <w:lang w:val="en-GB"/>
          <w14:ligatures w14:val="none"/>
        </w:rPr>
        <w:t xml:space="preserve"> scenery for tourism. Gutkowski</w:t>
      </w:r>
      <w:r w:rsidR="004601B6" w:rsidRPr="008B086D">
        <w:rPr>
          <w:rFonts w:ascii="Gill Sans MT" w:eastAsia="Gill Sans MT" w:hAnsi="Gill Sans MT" w:cs="Gill Sans MT"/>
          <w:kern w:val="0"/>
          <w:lang w:val="en-GB"/>
          <w14:ligatures w14:val="none"/>
        </w:rPr>
        <w:t xml:space="preserve"> </w:t>
      </w:r>
      <w:r w:rsidR="002D2698" w:rsidRPr="008B086D">
        <w:rPr>
          <w:rFonts w:ascii="Gill Sans MT" w:eastAsia="Gill Sans MT" w:hAnsi="Gill Sans MT" w:cs="Gill Sans MT"/>
          <w:kern w:val="0"/>
          <w:lang w:val="en-GB"/>
          <w14:ligatures w14:val="none"/>
        </w:rPr>
        <w:t xml:space="preserve">adds nuance by </w:t>
      </w:r>
      <w:r w:rsidR="00F04AE9" w:rsidRPr="008B086D">
        <w:rPr>
          <w:rFonts w:ascii="Gill Sans MT" w:eastAsia="Gill Sans MT" w:hAnsi="Gill Sans MT" w:cs="Gill Sans MT"/>
          <w:kern w:val="0"/>
          <w:lang w:val="en-GB"/>
          <w14:ligatures w14:val="none"/>
        </w:rPr>
        <w:t>refus</w:t>
      </w:r>
      <w:r w:rsidR="002D2698" w:rsidRPr="008B086D">
        <w:rPr>
          <w:rFonts w:ascii="Gill Sans MT" w:eastAsia="Gill Sans MT" w:hAnsi="Gill Sans MT" w:cs="Gill Sans MT"/>
          <w:kern w:val="0"/>
          <w:lang w:val="en-GB"/>
          <w14:ligatures w14:val="none"/>
        </w:rPr>
        <w:t>ing</w:t>
      </w:r>
      <w:r w:rsidR="00F04AE9" w:rsidRPr="008B086D">
        <w:rPr>
          <w:rFonts w:ascii="Gill Sans MT" w:eastAsia="Gill Sans MT" w:hAnsi="Gill Sans MT" w:cs="Gill Sans MT"/>
          <w:kern w:val="0"/>
          <w:lang w:val="en-GB"/>
          <w14:ligatures w14:val="none"/>
        </w:rPr>
        <w:t xml:space="preserve"> a simple modern/traditional binary</w:t>
      </w:r>
      <w:r w:rsidR="00F222FB" w:rsidRPr="008B086D">
        <w:rPr>
          <w:rFonts w:ascii="Gill Sans MT" w:eastAsia="Gill Sans MT" w:hAnsi="Gill Sans MT" w:cs="Gill Sans MT"/>
          <w:kern w:val="0"/>
          <w:lang w:val="en-GB"/>
          <w14:ligatures w14:val="none"/>
        </w:rPr>
        <w:t xml:space="preserve"> by showing how </w:t>
      </w:r>
      <w:r w:rsidR="00F04AE9" w:rsidRPr="008B086D">
        <w:rPr>
          <w:rFonts w:ascii="Gill Sans MT" w:eastAsia="Gill Sans MT" w:hAnsi="Gill Sans MT" w:cs="Gill Sans MT"/>
          <w:kern w:val="0"/>
          <w:lang w:val="en-GB"/>
          <w14:ligatures w14:val="none"/>
        </w:rPr>
        <w:t xml:space="preserve">some Palestinian agronomists </w:t>
      </w:r>
      <w:r w:rsidR="00F222FB" w:rsidRPr="008B086D">
        <w:rPr>
          <w:rFonts w:ascii="Gill Sans MT" w:eastAsia="Gill Sans MT" w:hAnsi="Gill Sans MT" w:cs="Gill Sans MT"/>
          <w:kern w:val="0"/>
          <w:lang w:val="en-GB"/>
          <w14:ligatures w14:val="none"/>
        </w:rPr>
        <w:t xml:space="preserve">also </w:t>
      </w:r>
      <w:r w:rsidR="00F04AE9" w:rsidRPr="008B086D">
        <w:rPr>
          <w:rFonts w:ascii="Gill Sans MT" w:eastAsia="Gill Sans MT" w:hAnsi="Gill Sans MT" w:cs="Gill Sans MT"/>
          <w:kern w:val="0"/>
          <w:lang w:val="en-GB"/>
          <w14:ligatures w14:val="none"/>
        </w:rPr>
        <w:t xml:space="preserve">advocate </w:t>
      </w:r>
      <w:r w:rsidR="006D0350" w:rsidRPr="008B086D">
        <w:rPr>
          <w:rFonts w:ascii="Gill Sans MT" w:eastAsia="Gill Sans MT" w:hAnsi="Gill Sans MT" w:cs="Gill Sans MT"/>
          <w:kern w:val="0"/>
          <w:lang w:val="en-GB"/>
          <w14:ligatures w14:val="none"/>
        </w:rPr>
        <w:t>for</w:t>
      </w:r>
      <w:r w:rsidR="005B60A8" w:rsidRPr="008B086D">
        <w:rPr>
          <w:rFonts w:ascii="Gill Sans MT" w:eastAsia="Gill Sans MT" w:hAnsi="Gill Sans MT" w:cs="Gill Sans MT"/>
          <w:kern w:val="0"/>
          <w:lang w:val="en-GB"/>
          <w14:ligatures w14:val="none"/>
        </w:rPr>
        <w:t xml:space="preserve"> </w:t>
      </w:r>
      <w:r w:rsidR="003A2F3A" w:rsidRPr="008B086D">
        <w:rPr>
          <w:rFonts w:ascii="Gill Sans MT" w:eastAsia="Gill Sans MT" w:hAnsi="Gill Sans MT" w:cs="Gill Sans MT"/>
          <w:kern w:val="0"/>
          <w:lang w:val="en-GB"/>
          <w14:ligatures w14:val="none"/>
        </w:rPr>
        <w:t>such techniques of</w:t>
      </w:r>
      <w:r w:rsidR="006D0350" w:rsidRPr="008B086D">
        <w:rPr>
          <w:rFonts w:ascii="Gill Sans MT" w:eastAsia="Gill Sans MT" w:hAnsi="Gill Sans MT" w:cs="Gill Sans MT"/>
          <w:kern w:val="0"/>
          <w:lang w:val="en-GB"/>
          <w14:ligatures w14:val="none"/>
        </w:rPr>
        <w:t xml:space="preserve"> olive </w:t>
      </w:r>
      <w:r w:rsidR="00AC447A" w:rsidRPr="008B086D">
        <w:rPr>
          <w:rFonts w:ascii="Gill Sans MT" w:eastAsia="Gill Sans MT" w:hAnsi="Gill Sans MT" w:cs="Gill Sans MT"/>
          <w:kern w:val="0"/>
          <w:lang w:val="en-GB"/>
          <w14:ligatures w14:val="none"/>
        </w:rPr>
        <w:t>‘</w:t>
      </w:r>
      <w:r w:rsidR="00F222FB" w:rsidRPr="008B086D">
        <w:rPr>
          <w:rFonts w:ascii="Gill Sans MT" w:eastAsia="Gill Sans MT" w:hAnsi="Gill Sans MT" w:cs="Gill Sans MT"/>
          <w:kern w:val="0"/>
          <w:lang w:val="en-GB"/>
          <w14:ligatures w14:val="none"/>
        </w:rPr>
        <w:t>moderni</w:t>
      </w:r>
      <w:r w:rsidR="00AC447A" w:rsidRPr="008B086D">
        <w:rPr>
          <w:rFonts w:ascii="Gill Sans MT" w:eastAsia="Gill Sans MT" w:hAnsi="Gill Sans MT" w:cs="Gill Sans MT"/>
          <w:kern w:val="0"/>
          <w:lang w:val="en-GB"/>
          <w14:ligatures w14:val="none"/>
        </w:rPr>
        <w:t>s</w:t>
      </w:r>
      <w:r w:rsidR="00F222FB" w:rsidRPr="008B086D">
        <w:rPr>
          <w:rFonts w:ascii="Gill Sans MT" w:eastAsia="Gill Sans MT" w:hAnsi="Gill Sans MT" w:cs="Gill Sans MT"/>
          <w:kern w:val="0"/>
          <w:lang w:val="en-GB"/>
          <w14:ligatures w14:val="none"/>
        </w:rPr>
        <w:t>ation</w:t>
      </w:r>
      <w:r w:rsidR="00AC447A" w:rsidRPr="008B086D">
        <w:rPr>
          <w:rFonts w:ascii="Gill Sans MT" w:eastAsia="Gill Sans MT" w:hAnsi="Gill Sans MT" w:cs="Gill Sans MT"/>
          <w:kern w:val="0"/>
          <w:lang w:val="en-GB"/>
          <w14:ligatures w14:val="none"/>
        </w:rPr>
        <w:t>’</w:t>
      </w:r>
      <w:r w:rsidR="00F222FB" w:rsidRPr="008B086D">
        <w:rPr>
          <w:rFonts w:ascii="Gill Sans MT" w:eastAsia="Gill Sans MT" w:hAnsi="Gill Sans MT" w:cs="Gill Sans MT"/>
          <w:kern w:val="0"/>
          <w:lang w:val="en-GB"/>
          <w14:ligatures w14:val="none"/>
        </w:rPr>
        <w:t>.</w:t>
      </w:r>
      <w:r w:rsidR="00F04AE9" w:rsidRPr="008B086D">
        <w:rPr>
          <w:rFonts w:ascii="Gill Sans MT" w:eastAsia="Gill Sans MT" w:hAnsi="Gill Sans MT" w:cs="Gill Sans MT"/>
          <w:kern w:val="0"/>
          <w:lang w:val="en-GB"/>
          <w14:ligatures w14:val="none"/>
        </w:rPr>
        <w:t xml:space="preserve"> </w:t>
      </w:r>
      <w:r w:rsidR="001A491F" w:rsidRPr="008B086D">
        <w:rPr>
          <w:rFonts w:ascii="Gill Sans MT" w:eastAsia="Gill Sans MT" w:hAnsi="Gill Sans MT" w:cs="Gill Sans MT"/>
          <w:kern w:val="0"/>
          <w:lang w:val="en-GB"/>
          <w14:ligatures w14:val="none"/>
        </w:rPr>
        <w:t>Industrial time and its</w:t>
      </w:r>
      <w:r w:rsidR="00C83398" w:rsidRPr="008B086D">
        <w:rPr>
          <w:rFonts w:ascii="Gill Sans MT" w:eastAsia="Gill Sans MT" w:hAnsi="Gill Sans MT" w:cs="Gill Sans MT"/>
          <w:kern w:val="0"/>
          <w:lang w:val="en-GB"/>
          <w14:ligatures w14:val="none"/>
        </w:rPr>
        <w:t xml:space="preserve"> focus on</w:t>
      </w:r>
      <w:r w:rsidR="001A491F" w:rsidRPr="008B086D">
        <w:rPr>
          <w:rFonts w:ascii="Gill Sans MT" w:eastAsia="Gill Sans MT" w:hAnsi="Gill Sans MT" w:cs="Gill Sans MT"/>
          <w:kern w:val="0"/>
          <w:lang w:val="en-GB"/>
          <w14:ligatures w14:val="none"/>
        </w:rPr>
        <w:t xml:space="preserve"> short</w:t>
      </w:r>
      <w:r w:rsidR="00AC447A" w:rsidRPr="008B086D">
        <w:rPr>
          <w:rFonts w:ascii="Gill Sans MT" w:eastAsia="Gill Sans MT" w:hAnsi="Gill Sans MT" w:cs="Gill Sans MT"/>
          <w:kern w:val="0"/>
          <w:lang w:val="en-GB"/>
          <w14:ligatures w14:val="none"/>
        </w:rPr>
        <w:t>-</w:t>
      </w:r>
      <w:r w:rsidR="002F72E5" w:rsidRPr="008B086D">
        <w:rPr>
          <w:rFonts w:ascii="Gill Sans MT" w:eastAsia="Gill Sans MT" w:hAnsi="Gill Sans MT" w:cs="Gill Sans MT"/>
          <w:kern w:val="0"/>
          <w:lang w:val="en-GB"/>
          <w14:ligatures w14:val="none"/>
        </w:rPr>
        <w:t>term</w:t>
      </w:r>
      <w:r w:rsidR="001A491F" w:rsidRPr="008B086D">
        <w:rPr>
          <w:rFonts w:ascii="Gill Sans MT" w:eastAsia="Gill Sans MT" w:hAnsi="Gill Sans MT" w:cs="Gill Sans MT"/>
          <w:kern w:val="0"/>
          <w:lang w:val="en-GB"/>
          <w14:ligatures w14:val="none"/>
        </w:rPr>
        <w:t xml:space="preserve"> efficiency</w:t>
      </w:r>
      <w:r w:rsidR="00030602" w:rsidRPr="008B086D">
        <w:rPr>
          <w:rFonts w:ascii="Gill Sans MT" w:eastAsia="Gill Sans MT" w:hAnsi="Gill Sans MT" w:cs="Gill Sans MT"/>
          <w:kern w:val="0"/>
          <w:lang w:val="en-GB"/>
          <w14:ligatures w14:val="none"/>
        </w:rPr>
        <w:t xml:space="preserve"> takes over knowledge, skills and olive varieties that had been carefully crafted </w:t>
      </w:r>
      <w:r w:rsidR="00A77279" w:rsidRPr="008B086D">
        <w:rPr>
          <w:rFonts w:ascii="Gill Sans MT" w:eastAsia="Gill Sans MT" w:hAnsi="Gill Sans MT" w:cs="Gill Sans MT"/>
          <w:kern w:val="0"/>
          <w:lang w:val="en-GB"/>
          <w14:ligatures w14:val="none"/>
        </w:rPr>
        <w:t xml:space="preserve">by Palestinians </w:t>
      </w:r>
      <w:r w:rsidR="00030602" w:rsidRPr="008B086D">
        <w:rPr>
          <w:rFonts w:ascii="Gill Sans MT" w:eastAsia="Gill Sans MT" w:hAnsi="Gill Sans MT" w:cs="Gill Sans MT"/>
          <w:kern w:val="0"/>
          <w:lang w:val="en-GB"/>
          <w14:ligatures w14:val="none"/>
        </w:rPr>
        <w:t>over centuries</w:t>
      </w:r>
      <w:r w:rsidR="00C83398" w:rsidRPr="008B086D">
        <w:rPr>
          <w:rFonts w:ascii="Gill Sans MT" w:eastAsia="Gill Sans MT" w:hAnsi="Gill Sans MT" w:cs="Gill Sans MT"/>
          <w:kern w:val="0"/>
          <w:lang w:val="en-GB"/>
          <w14:ligatures w14:val="none"/>
        </w:rPr>
        <w:t>.</w:t>
      </w:r>
      <w:r w:rsidR="00030602" w:rsidRPr="008B086D">
        <w:rPr>
          <w:rFonts w:ascii="Gill Sans MT" w:eastAsia="Gill Sans MT" w:hAnsi="Gill Sans MT" w:cs="Gill Sans MT"/>
          <w:kern w:val="0"/>
          <w:lang w:val="en-GB"/>
          <w14:ligatures w14:val="none"/>
        </w:rPr>
        <w:t xml:space="preserve"> </w:t>
      </w:r>
      <w:r w:rsidR="00F04AE9" w:rsidRPr="008B086D">
        <w:rPr>
          <w:rFonts w:ascii="Gill Sans MT" w:eastAsia="Gill Sans MT" w:hAnsi="Gill Sans MT" w:cs="Gill Sans MT"/>
          <w:kern w:val="0"/>
          <w:lang w:val="en-GB"/>
          <w14:ligatures w14:val="none"/>
        </w:rPr>
        <w:t>The chapter deftly links short-term efficiency to long-term ecological loss</w:t>
      </w:r>
      <w:r w:rsidR="00030602" w:rsidRPr="008B086D">
        <w:rPr>
          <w:rFonts w:ascii="Gill Sans MT" w:eastAsia="Gill Sans MT" w:hAnsi="Gill Sans MT" w:cs="Gill Sans MT"/>
          <w:kern w:val="0"/>
          <w:lang w:val="en-GB"/>
          <w14:ligatures w14:val="none"/>
        </w:rPr>
        <w:t xml:space="preserve"> </w:t>
      </w:r>
      <w:r w:rsidR="00152788" w:rsidRPr="008B086D">
        <w:rPr>
          <w:rFonts w:ascii="Gill Sans MT" w:eastAsia="Gill Sans MT" w:hAnsi="Gill Sans MT" w:cs="Gill Sans MT"/>
          <w:kern w:val="0"/>
          <w:lang w:val="en-GB"/>
          <w14:ligatures w14:val="none"/>
        </w:rPr>
        <w:t xml:space="preserve">while complexifying the notions of a single Palestinian versus Israeli agriculture. </w:t>
      </w:r>
    </w:p>
    <w:p w14:paraId="60CE6D8B" w14:textId="77777777" w:rsidR="00DE7B0B" w:rsidRPr="008B086D" w:rsidRDefault="00C83398"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 xml:space="preserve">The final chapter, </w:t>
      </w:r>
      <w:r w:rsidR="00B31BCF" w:rsidRPr="008B086D">
        <w:rPr>
          <w:rFonts w:ascii="Gill Sans MT" w:eastAsia="Gill Sans MT" w:hAnsi="Gill Sans MT" w:cs="Gill Sans MT"/>
          <w:kern w:val="0"/>
          <w:lang w:val="en-GB"/>
          <w14:ligatures w14:val="none"/>
        </w:rPr>
        <w:t>‘Freeing time like a Palestinian agronomist’, turns inward to Palestinian agronomists employed by the state</w:t>
      </w:r>
      <w:r w:rsidR="000924DD" w:rsidRPr="008B086D">
        <w:rPr>
          <w:rFonts w:ascii="Gill Sans MT" w:eastAsia="Gill Sans MT" w:hAnsi="Gill Sans MT" w:cs="Gill Sans MT"/>
          <w:kern w:val="0"/>
          <w:lang w:val="en-GB"/>
          <w14:ligatures w14:val="none"/>
        </w:rPr>
        <w:t xml:space="preserve">. </w:t>
      </w:r>
      <w:r w:rsidR="009A0F83" w:rsidRPr="008B086D">
        <w:rPr>
          <w:rFonts w:ascii="Gill Sans MT" w:eastAsia="Gill Sans MT" w:hAnsi="Gill Sans MT" w:cs="Gill Sans MT"/>
          <w:kern w:val="0"/>
          <w:lang w:val="en-GB"/>
          <w14:ligatures w14:val="none"/>
        </w:rPr>
        <w:t xml:space="preserve">It </w:t>
      </w:r>
      <w:r w:rsidR="001874D7" w:rsidRPr="008B086D">
        <w:rPr>
          <w:rFonts w:ascii="Gill Sans MT" w:eastAsia="Gill Sans MT" w:hAnsi="Gill Sans MT" w:cs="Gill Sans MT"/>
          <w:kern w:val="0"/>
          <w:lang w:val="en-GB"/>
          <w14:ligatures w14:val="none"/>
        </w:rPr>
        <w:t>highlight</w:t>
      </w:r>
      <w:r w:rsidR="009A0F83" w:rsidRPr="008B086D">
        <w:rPr>
          <w:rFonts w:ascii="Gill Sans MT" w:eastAsia="Gill Sans MT" w:hAnsi="Gill Sans MT" w:cs="Gill Sans MT"/>
          <w:kern w:val="0"/>
          <w:lang w:val="en-GB"/>
          <w14:ligatures w14:val="none"/>
        </w:rPr>
        <w:t>s</w:t>
      </w:r>
      <w:r w:rsidR="001874D7" w:rsidRPr="008B086D">
        <w:rPr>
          <w:rFonts w:ascii="Gill Sans MT" w:eastAsia="Gill Sans MT" w:hAnsi="Gill Sans MT" w:cs="Gill Sans MT"/>
          <w:kern w:val="0"/>
          <w:lang w:val="en-GB"/>
          <w14:ligatures w14:val="none"/>
        </w:rPr>
        <w:t xml:space="preserve"> how professionalism</w:t>
      </w:r>
      <w:r w:rsidR="009A0F83" w:rsidRPr="008B086D">
        <w:rPr>
          <w:rFonts w:ascii="Gill Sans MT" w:eastAsia="Gill Sans MT" w:hAnsi="Gill Sans MT" w:cs="Gill Sans MT"/>
          <w:kern w:val="0"/>
          <w:lang w:val="en-GB"/>
          <w14:ligatures w14:val="none"/>
        </w:rPr>
        <w:t xml:space="preserve"> and ‘neutrality’ in bureaucratic interactions</w:t>
      </w:r>
      <w:r w:rsidR="001874D7" w:rsidRPr="008B086D">
        <w:rPr>
          <w:rFonts w:ascii="Gill Sans MT" w:eastAsia="Gill Sans MT" w:hAnsi="Gill Sans MT" w:cs="Gill Sans MT"/>
          <w:kern w:val="0"/>
          <w:lang w:val="en-GB"/>
          <w14:ligatures w14:val="none"/>
        </w:rPr>
        <w:t xml:space="preserve">, </w:t>
      </w:r>
      <w:r w:rsidR="00246FF2" w:rsidRPr="008B086D">
        <w:rPr>
          <w:rFonts w:ascii="Gill Sans MT" w:eastAsia="Gill Sans MT" w:hAnsi="Gill Sans MT" w:cs="Gill Sans MT"/>
          <w:kern w:val="0"/>
          <w:lang w:val="en-GB"/>
          <w14:ligatures w14:val="none"/>
        </w:rPr>
        <w:t xml:space="preserve">can be </w:t>
      </w:r>
      <w:r w:rsidR="00B31BCF" w:rsidRPr="008B086D">
        <w:rPr>
          <w:rFonts w:ascii="Gill Sans MT" w:eastAsia="Gill Sans MT" w:hAnsi="Gill Sans MT" w:cs="Gill Sans MT"/>
          <w:kern w:val="0"/>
          <w:lang w:val="en-GB"/>
          <w14:ligatures w14:val="none"/>
        </w:rPr>
        <w:t>a survival strategy</w:t>
      </w:r>
      <w:r w:rsidR="009A0F83" w:rsidRPr="008B086D">
        <w:rPr>
          <w:rFonts w:ascii="Gill Sans MT" w:eastAsia="Gill Sans MT" w:hAnsi="Gill Sans MT" w:cs="Gill Sans MT"/>
          <w:kern w:val="0"/>
          <w:lang w:val="en-GB"/>
          <w14:ligatures w14:val="none"/>
        </w:rPr>
        <w:t xml:space="preserve"> for Palestinians</w:t>
      </w:r>
      <w:r w:rsidR="00B31BCF" w:rsidRPr="008B086D">
        <w:rPr>
          <w:rFonts w:ascii="Gill Sans MT" w:eastAsia="Gill Sans MT" w:hAnsi="Gill Sans MT" w:cs="Gill Sans MT"/>
          <w:kern w:val="0"/>
          <w:lang w:val="en-GB"/>
          <w14:ligatures w14:val="none"/>
        </w:rPr>
        <w:t xml:space="preserve"> </w:t>
      </w:r>
      <w:r w:rsidR="009A0F83" w:rsidRPr="008B086D">
        <w:rPr>
          <w:rFonts w:ascii="Gill Sans MT" w:eastAsia="Gill Sans MT" w:hAnsi="Gill Sans MT" w:cs="Gill Sans MT"/>
          <w:kern w:val="0"/>
          <w:lang w:val="en-GB"/>
          <w14:ligatures w14:val="none"/>
        </w:rPr>
        <w:t xml:space="preserve">to protect </w:t>
      </w:r>
      <w:r w:rsidR="00B31BCF" w:rsidRPr="008B086D">
        <w:rPr>
          <w:rFonts w:ascii="Gill Sans MT" w:eastAsia="Gill Sans MT" w:hAnsi="Gill Sans MT" w:cs="Gill Sans MT"/>
          <w:kern w:val="0"/>
          <w:lang w:val="en-GB"/>
          <w14:ligatures w14:val="none"/>
        </w:rPr>
        <w:t xml:space="preserve">careers and families. Resistance, Gutkowski suggests, often occurs in the </w:t>
      </w:r>
      <w:r w:rsidR="007E4137" w:rsidRPr="008B086D">
        <w:rPr>
          <w:rFonts w:ascii="Gill Sans MT" w:eastAsia="Gill Sans MT" w:hAnsi="Gill Sans MT" w:cs="Gill Sans MT"/>
          <w:kern w:val="0"/>
          <w:lang w:val="en-GB"/>
          <w14:ligatures w14:val="none"/>
        </w:rPr>
        <w:t>‘</w:t>
      </w:r>
      <w:r w:rsidR="00B31BCF" w:rsidRPr="008B086D">
        <w:rPr>
          <w:rFonts w:ascii="Gill Sans MT" w:eastAsia="Gill Sans MT" w:hAnsi="Gill Sans MT" w:cs="Gill Sans MT"/>
          <w:kern w:val="0"/>
          <w:lang w:val="en-GB"/>
          <w14:ligatures w14:val="none"/>
        </w:rPr>
        <w:t>margins</w:t>
      </w:r>
      <w:r w:rsidR="007E4137" w:rsidRPr="008B086D">
        <w:rPr>
          <w:rFonts w:ascii="Gill Sans MT" w:eastAsia="Gill Sans MT" w:hAnsi="Gill Sans MT" w:cs="Gill Sans MT"/>
          <w:kern w:val="0"/>
          <w:lang w:val="en-GB"/>
          <w14:ligatures w14:val="none"/>
        </w:rPr>
        <w:t>’</w:t>
      </w:r>
      <w:r w:rsidR="00B31BCF" w:rsidRPr="008B086D">
        <w:rPr>
          <w:rFonts w:ascii="Gill Sans MT" w:eastAsia="Gill Sans MT" w:hAnsi="Gill Sans MT" w:cs="Gill Sans MT"/>
          <w:kern w:val="0"/>
          <w:lang w:val="en-GB"/>
          <w14:ligatures w14:val="none"/>
        </w:rPr>
        <w:t xml:space="preserve">: </w:t>
      </w:r>
      <w:r w:rsidR="00E060F6" w:rsidRPr="008B086D">
        <w:rPr>
          <w:rFonts w:ascii="Gill Sans MT" w:eastAsia="Gill Sans MT" w:hAnsi="Gill Sans MT" w:cs="Gill Sans MT"/>
          <w:kern w:val="0"/>
          <w:lang w:val="en-GB"/>
          <w14:ligatures w14:val="none"/>
        </w:rPr>
        <w:t xml:space="preserve">in the </w:t>
      </w:r>
      <w:r w:rsidR="00B31BCF" w:rsidRPr="008B086D">
        <w:rPr>
          <w:rFonts w:ascii="Gill Sans MT" w:eastAsia="Gill Sans MT" w:hAnsi="Gill Sans MT" w:cs="Gill Sans MT"/>
          <w:kern w:val="0"/>
          <w:lang w:val="en-GB"/>
          <w14:ligatures w14:val="none"/>
        </w:rPr>
        <w:t>after-hours</w:t>
      </w:r>
      <w:r w:rsidR="0081163E" w:rsidRPr="008B086D">
        <w:rPr>
          <w:rFonts w:ascii="Gill Sans MT" w:eastAsia="Gill Sans MT" w:hAnsi="Gill Sans MT" w:cs="Gill Sans MT"/>
          <w:kern w:val="0"/>
          <w:lang w:val="en-GB"/>
          <w14:ligatures w14:val="none"/>
        </w:rPr>
        <w:t xml:space="preserve"> or </w:t>
      </w:r>
      <w:r w:rsidR="00E060F6" w:rsidRPr="008B086D">
        <w:rPr>
          <w:rFonts w:ascii="Gill Sans MT" w:eastAsia="Gill Sans MT" w:hAnsi="Gill Sans MT" w:cs="Gill Sans MT"/>
          <w:kern w:val="0"/>
          <w:lang w:val="en-GB"/>
          <w14:ligatures w14:val="none"/>
        </w:rPr>
        <w:t>the</w:t>
      </w:r>
      <w:r w:rsidR="00B31BCF" w:rsidRPr="008B086D">
        <w:rPr>
          <w:rFonts w:ascii="Gill Sans MT" w:eastAsia="Gill Sans MT" w:hAnsi="Gill Sans MT" w:cs="Gill Sans MT"/>
          <w:kern w:val="0"/>
          <w:lang w:val="en-GB"/>
          <w14:ligatures w14:val="none"/>
        </w:rPr>
        <w:t xml:space="preserve"> retirement projects where people reallocate their time. The chapter’s provocation is that free time is political time. </w:t>
      </w:r>
      <w:r w:rsidR="0020667F" w:rsidRPr="008B086D">
        <w:rPr>
          <w:rFonts w:ascii="Gill Sans MT" w:eastAsia="Gill Sans MT" w:hAnsi="Gill Sans MT" w:cs="Gill Sans MT"/>
          <w:kern w:val="0"/>
          <w:lang w:val="en-GB"/>
          <w14:ligatures w14:val="none"/>
        </w:rPr>
        <w:t xml:space="preserve">This chapter </w:t>
      </w:r>
      <w:r w:rsidR="009A0F83" w:rsidRPr="008B086D">
        <w:rPr>
          <w:rFonts w:ascii="Gill Sans MT" w:eastAsia="Gill Sans MT" w:hAnsi="Gill Sans MT" w:cs="Gill Sans MT"/>
          <w:kern w:val="0"/>
          <w:lang w:val="en-GB"/>
          <w14:ligatures w14:val="none"/>
        </w:rPr>
        <w:t>is, in my opinion, the weakest</w:t>
      </w:r>
      <w:r w:rsidR="00547A34" w:rsidRPr="008B086D">
        <w:rPr>
          <w:rFonts w:ascii="Gill Sans MT" w:eastAsia="Gill Sans MT" w:hAnsi="Gill Sans MT" w:cs="Gill Sans MT"/>
          <w:kern w:val="0"/>
          <w:lang w:val="en-GB"/>
          <w14:ligatures w14:val="none"/>
        </w:rPr>
        <w:t xml:space="preserve"> </w:t>
      </w:r>
      <w:r w:rsidR="00C46EDA" w:rsidRPr="008B086D">
        <w:rPr>
          <w:rFonts w:ascii="Gill Sans MT" w:eastAsia="Gill Sans MT" w:hAnsi="Gill Sans MT" w:cs="Gill Sans MT"/>
          <w:kern w:val="0"/>
          <w:lang w:val="en-GB"/>
          <w14:ligatures w14:val="none"/>
        </w:rPr>
        <w:t xml:space="preserve">in terms of </w:t>
      </w:r>
      <w:r w:rsidR="00666DFF" w:rsidRPr="008B086D">
        <w:rPr>
          <w:rFonts w:ascii="Gill Sans MT" w:eastAsia="Gill Sans MT" w:hAnsi="Gill Sans MT" w:cs="Gill Sans MT"/>
          <w:kern w:val="0"/>
          <w:lang w:val="en-GB"/>
          <w14:ligatures w14:val="none"/>
        </w:rPr>
        <w:t>structure and argument</w:t>
      </w:r>
      <w:r w:rsidR="00547A34" w:rsidRPr="008B086D">
        <w:rPr>
          <w:rFonts w:ascii="Gill Sans MT" w:eastAsia="Gill Sans MT" w:hAnsi="Gill Sans MT" w:cs="Gill Sans MT"/>
          <w:kern w:val="0"/>
          <w:lang w:val="en-GB"/>
          <w14:ligatures w14:val="none"/>
        </w:rPr>
        <w:t xml:space="preserve">. </w:t>
      </w:r>
      <w:r w:rsidR="00517178" w:rsidRPr="008B086D">
        <w:rPr>
          <w:rFonts w:ascii="Gill Sans MT" w:eastAsia="Gill Sans MT" w:hAnsi="Gill Sans MT" w:cs="Gill Sans MT"/>
          <w:kern w:val="0"/>
          <w:lang w:val="en-GB"/>
          <w14:ligatures w14:val="none"/>
        </w:rPr>
        <w:t>F</w:t>
      </w:r>
      <w:r w:rsidR="00A97C4B" w:rsidRPr="008B086D">
        <w:rPr>
          <w:rFonts w:ascii="Gill Sans MT" w:eastAsia="Gill Sans MT" w:hAnsi="Gill Sans MT" w:cs="Gill Sans MT"/>
          <w:kern w:val="0"/>
          <w:lang w:val="en-GB"/>
          <w14:ligatures w14:val="none"/>
        </w:rPr>
        <w:t xml:space="preserve">raming ‘neutrality’ and free time as </w:t>
      </w:r>
      <w:r w:rsidR="00CE6ACA" w:rsidRPr="008B086D">
        <w:rPr>
          <w:rFonts w:ascii="Gill Sans MT" w:eastAsia="Gill Sans MT" w:hAnsi="Gill Sans MT" w:cs="Gill Sans MT"/>
          <w:kern w:val="0"/>
          <w:lang w:val="en-GB"/>
          <w14:ligatures w14:val="none"/>
        </w:rPr>
        <w:t>‘</w:t>
      </w:r>
      <w:r w:rsidR="00A97C4B" w:rsidRPr="008B086D">
        <w:rPr>
          <w:rFonts w:ascii="Gill Sans MT" w:eastAsia="Gill Sans MT" w:hAnsi="Gill Sans MT" w:cs="Gill Sans MT"/>
          <w:kern w:val="0"/>
          <w:lang w:val="en-GB"/>
          <w14:ligatures w14:val="none"/>
        </w:rPr>
        <w:t>resistance</w:t>
      </w:r>
      <w:r w:rsidR="00CE6ACA" w:rsidRPr="008B086D">
        <w:rPr>
          <w:rFonts w:ascii="Gill Sans MT" w:eastAsia="Gill Sans MT" w:hAnsi="Gill Sans MT" w:cs="Gill Sans MT"/>
          <w:kern w:val="0"/>
          <w:lang w:val="en-GB"/>
          <w14:ligatures w14:val="none"/>
        </w:rPr>
        <w:t>’</w:t>
      </w:r>
      <w:r w:rsidR="00067CF7" w:rsidRPr="008B086D">
        <w:rPr>
          <w:rFonts w:ascii="Gill Sans MT" w:eastAsia="Gill Sans MT" w:hAnsi="Gill Sans MT" w:cs="Gill Sans MT"/>
          <w:kern w:val="0"/>
          <w:lang w:val="en-GB"/>
          <w14:ligatures w14:val="none"/>
        </w:rPr>
        <w:t xml:space="preserve"> remains unconvincing</w:t>
      </w:r>
      <w:r w:rsidR="00A97C4B" w:rsidRPr="008B086D">
        <w:rPr>
          <w:rFonts w:ascii="Gill Sans MT" w:eastAsia="Gill Sans MT" w:hAnsi="Gill Sans MT" w:cs="Gill Sans MT"/>
          <w:kern w:val="0"/>
          <w:lang w:val="en-GB"/>
          <w14:ligatures w14:val="none"/>
        </w:rPr>
        <w:t xml:space="preserve">. </w:t>
      </w:r>
    </w:p>
    <w:p w14:paraId="6FB61D92" w14:textId="77777777" w:rsidR="00DE7B0B" w:rsidRPr="008B086D" w:rsidRDefault="00666DFF"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kern w:val="0"/>
          <w:lang w:val="en-GB"/>
          <w14:ligatures w14:val="none"/>
        </w:rPr>
        <w:t>More generally, m</w:t>
      </w:r>
      <w:r w:rsidR="00843241" w:rsidRPr="008B086D">
        <w:rPr>
          <w:rFonts w:ascii="Gill Sans MT" w:eastAsia="Gill Sans MT" w:hAnsi="Gill Sans MT" w:cs="Gill Sans MT"/>
          <w:kern w:val="0"/>
          <w:lang w:val="en-GB"/>
          <w14:ligatures w14:val="none"/>
        </w:rPr>
        <w:t xml:space="preserve">aking </w:t>
      </w:r>
      <w:r w:rsidR="00A92D17" w:rsidRPr="008B086D">
        <w:rPr>
          <w:rFonts w:ascii="Gill Sans MT" w:eastAsia="Gill Sans MT" w:hAnsi="Gill Sans MT" w:cs="Gill Sans MT"/>
          <w:kern w:val="0"/>
          <w:lang w:val="en-GB"/>
          <w14:ligatures w14:val="none"/>
        </w:rPr>
        <w:t>‘</w:t>
      </w:r>
      <w:r w:rsidR="00843241" w:rsidRPr="008B086D">
        <w:rPr>
          <w:rFonts w:ascii="Gill Sans MT" w:eastAsia="Gill Sans MT" w:hAnsi="Gill Sans MT" w:cs="Gill Sans MT"/>
          <w:kern w:val="0"/>
          <w:lang w:val="en-GB"/>
          <w14:ligatures w14:val="none"/>
        </w:rPr>
        <w:t>time</w:t>
      </w:r>
      <w:r w:rsidR="00A92D17" w:rsidRPr="008B086D">
        <w:rPr>
          <w:rFonts w:ascii="Gill Sans MT" w:eastAsia="Gill Sans MT" w:hAnsi="Gill Sans MT" w:cs="Gill Sans MT"/>
          <w:kern w:val="0"/>
          <w:lang w:val="en-GB"/>
          <w14:ligatures w14:val="none"/>
        </w:rPr>
        <w:t xml:space="preserve">’ </w:t>
      </w:r>
      <w:r w:rsidR="00843241" w:rsidRPr="008B086D">
        <w:rPr>
          <w:rFonts w:ascii="Gill Sans MT" w:eastAsia="Gill Sans MT" w:hAnsi="Gill Sans MT" w:cs="Gill Sans MT"/>
          <w:kern w:val="0"/>
          <w:lang w:val="en-GB"/>
          <w14:ligatures w14:val="none"/>
        </w:rPr>
        <w:t>the master analytic</w:t>
      </w:r>
      <w:r w:rsidR="00984832" w:rsidRPr="008B086D">
        <w:rPr>
          <w:rFonts w:ascii="Gill Sans MT" w:eastAsia="Gill Sans MT" w:hAnsi="Gill Sans MT" w:cs="Gill Sans MT"/>
          <w:kern w:val="0"/>
          <w:lang w:val="en-GB"/>
          <w14:ligatures w14:val="none"/>
        </w:rPr>
        <w:t>al framework</w:t>
      </w:r>
      <w:r w:rsidR="00467005" w:rsidRPr="008B086D">
        <w:rPr>
          <w:rFonts w:ascii="Gill Sans MT" w:eastAsia="Gill Sans MT" w:hAnsi="Gill Sans MT" w:cs="Gill Sans MT"/>
          <w:kern w:val="0"/>
          <w:lang w:val="en-GB"/>
          <w14:ligatures w14:val="none"/>
        </w:rPr>
        <w:t xml:space="preserve"> </w:t>
      </w:r>
      <w:r w:rsidRPr="008B086D">
        <w:rPr>
          <w:rFonts w:ascii="Gill Sans MT" w:eastAsia="Gill Sans MT" w:hAnsi="Gill Sans MT" w:cs="Gill Sans MT"/>
          <w:kern w:val="0"/>
          <w:lang w:val="en-GB"/>
          <w14:ligatures w14:val="none"/>
        </w:rPr>
        <w:t>sometimes</w:t>
      </w:r>
      <w:r w:rsidR="00843241" w:rsidRPr="008B086D">
        <w:rPr>
          <w:rFonts w:ascii="Gill Sans MT" w:eastAsia="Gill Sans MT" w:hAnsi="Gill Sans MT" w:cs="Gill Sans MT"/>
          <w:kern w:val="0"/>
          <w:lang w:val="en-GB"/>
          <w14:ligatures w14:val="none"/>
        </w:rPr>
        <w:t xml:space="preserve"> risks overreach. </w:t>
      </w:r>
      <w:r w:rsidR="00984832" w:rsidRPr="008B086D">
        <w:rPr>
          <w:rFonts w:ascii="Gill Sans MT" w:eastAsia="Gill Sans MT" w:hAnsi="Gill Sans MT" w:cs="Gill Sans MT"/>
          <w:kern w:val="0"/>
          <w:lang w:val="en-GB"/>
          <w14:ligatures w14:val="none"/>
        </w:rPr>
        <w:t xml:space="preserve">Most, if not all, of the workings of power and legality </w:t>
      </w:r>
      <w:r w:rsidR="00A31B2F" w:rsidRPr="008B086D">
        <w:rPr>
          <w:rFonts w:ascii="Gill Sans MT" w:eastAsia="Gill Sans MT" w:hAnsi="Gill Sans MT" w:cs="Gill Sans MT"/>
          <w:kern w:val="0"/>
          <w:lang w:val="en-GB"/>
          <w14:ligatures w14:val="none"/>
        </w:rPr>
        <w:t xml:space="preserve">could be glossed within a </w:t>
      </w:r>
      <w:r w:rsidR="00A92D17" w:rsidRPr="008B086D">
        <w:rPr>
          <w:rFonts w:ascii="Gill Sans MT" w:eastAsia="Gill Sans MT" w:hAnsi="Gill Sans MT" w:cs="Gill Sans MT"/>
          <w:kern w:val="0"/>
          <w:lang w:val="en-GB"/>
          <w14:ligatures w14:val="none"/>
        </w:rPr>
        <w:t>‘</w:t>
      </w:r>
      <w:r w:rsidR="00843241" w:rsidRPr="008B086D">
        <w:rPr>
          <w:rFonts w:ascii="Gill Sans MT" w:eastAsia="Gill Sans MT" w:hAnsi="Gill Sans MT" w:cs="Gill Sans MT"/>
          <w:kern w:val="0"/>
          <w:lang w:val="en-GB"/>
          <w14:ligatures w14:val="none"/>
        </w:rPr>
        <w:t xml:space="preserve">temporal </w:t>
      </w:r>
      <w:r w:rsidR="00A31B2F" w:rsidRPr="008B086D">
        <w:rPr>
          <w:rFonts w:ascii="Gill Sans MT" w:eastAsia="Gill Sans MT" w:hAnsi="Gill Sans MT" w:cs="Gill Sans MT"/>
          <w:kern w:val="0"/>
          <w:lang w:val="en-GB"/>
          <w14:ligatures w14:val="none"/>
        </w:rPr>
        <w:t>structure</w:t>
      </w:r>
      <w:r w:rsidR="00A92D17" w:rsidRPr="008B086D">
        <w:rPr>
          <w:rFonts w:ascii="Gill Sans MT" w:eastAsia="Gill Sans MT" w:hAnsi="Gill Sans MT" w:cs="Gill Sans MT"/>
          <w:kern w:val="0"/>
          <w:lang w:val="en-GB"/>
          <w14:ligatures w14:val="none"/>
        </w:rPr>
        <w:t>’</w:t>
      </w:r>
      <w:r w:rsidR="00843241" w:rsidRPr="008B086D">
        <w:rPr>
          <w:rFonts w:ascii="Gill Sans MT" w:eastAsia="Gill Sans MT" w:hAnsi="Gill Sans MT" w:cs="Gill Sans MT"/>
          <w:kern w:val="0"/>
          <w:lang w:val="en-GB"/>
          <w14:ligatures w14:val="none"/>
        </w:rPr>
        <w:t xml:space="preserve">; the book is </w:t>
      </w:r>
      <w:r w:rsidR="00A31B2F" w:rsidRPr="008B086D">
        <w:rPr>
          <w:rFonts w:ascii="Gill Sans MT" w:eastAsia="Gill Sans MT" w:hAnsi="Gill Sans MT" w:cs="Gill Sans MT"/>
          <w:kern w:val="0"/>
          <w:lang w:val="en-GB"/>
          <w14:ligatures w14:val="none"/>
        </w:rPr>
        <w:t xml:space="preserve">hence </w:t>
      </w:r>
      <w:r w:rsidR="00843241" w:rsidRPr="008B086D">
        <w:rPr>
          <w:rFonts w:ascii="Gill Sans MT" w:eastAsia="Gill Sans MT" w:hAnsi="Gill Sans MT" w:cs="Gill Sans MT"/>
          <w:kern w:val="0"/>
          <w:lang w:val="en-GB"/>
          <w14:ligatures w14:val="none"/>
        </w:rPr>
        <w:t xml:space="preserve">strongest where it shows the </w:t>
      </w:r>
      <w:r w:rsidR="00843241" w:rsidRPr="008B086D">
        <w:rPr>
          <w:rFonts w:ascii="Gill Sans MT" w:eastAsia="Gill Sans MT" w:hAnsi="Gill Sans MT" w:cs="Gill Sans MT"/>
          <w:i/>
          <w:iCs/>
          <w:kern w:val="0"/>
          <w:lang w:val="en-GB"/>
          <w14:ligatures w14:val="none"/>
        </w:rPr>
        <w:t>specific</w:t>
      </w:r>
      <w:r w:rsidR="00843241" w:rsidRPr="008B086D">
        <w:rPr>
          <w:rFonts w:ascii="Gill Sans MT" w:eastAsia="Gill Sans MT" w:hAnsi="Gill Sans MT" w:cs="Gill Sans MT"/>
          <w:kern w:val="0"/>
          <w:lang w:val="en-GB"/>
          <w14:ligatures w14:val="none"/>
        </w:rPr>
        <w:t xml:space="preserve"> instruments</w:t>
      </w:r>
      <w:r w:rsidR="00FE0511" w:rsidRPr="008B086D">
        <w:rPr>
          <w:rFonts w:ascii="Gill Sans MT" w:eastAsia="Gill Sans MT" w:hAnsi="Gill Sans MT" w:cs="Gill Sans MT"/>
          <w:kern w:val="0"/>
          <w:lang w:val="en-GB"/>
          <w14:ligatures w14:val="none"/>
        </w:rPr>
        <w:t xml:space="preserve"> through which temporal power </w:t>
      </w:r>
      <w:r w:rsidR="00677D86" w:rsidRPr="008B086D">
        <w:rPr>
          <w:rFonts w:ascii="Gill Sans MT" w:eastAsia="Gill Sans MT" w:hAnsi="Gill Sans MT" w:cs="Gill Sans MT"/>
          <w:kern w:val="0"/>
          <w:lang w:val="en-GB"/>
          <w14:ligatures w14:val="none"/>
        </w:rPr>
        <w:t>holds</w:t>
      </w:r>
      <w:r w:rsidR="00D913C5" w:rsidRPr="008B086D">
        <w:rPr>
          <w:rFonts w:ascii="Gill Sans MT" w:eastAsia="Gill Sans MT" w:hAnsi="Gill Sans MT" w:cs="Gill Sans MT"/>
          <w:kern w:val="0"/>
          <w:lang w:val="en-GB"/>
          <w14:ligatures w14:val="none"/>
        </w:rPr>
        <w:t xml:space="preserve">: </w:t>
      </w:r>
      <w:r w:rsidR="00843241" w:rsidRPr="008B086D">
        <w:rPr>
          <w:rFonts w:ascii="Gill Sans MT" w:eastAsia="Gill Sans MT" w:hAnsi="Gill Sans MT" w:cs="Gill Sans MT"/>
          <w:kern w:val="0"/>
          <w:lang w:val="en-GB"/>
          <w14:ligatures w14:val="none"/>
        </w:rPr>
        <w:t xml:space="preserve">religious calendars, </w:t>
      </w:r>
      <w:r w:rsidR="00D41892" w:rsidRPr="008B086D">
        <w:rPr>
          <w:rFonts w:ascii="Gill Sans MT" w:eastAsia="Gill Sans MT" w:hAnsi="Gill Sans MT" w:cs="Gill Sans MT"/>
          <w:kern w:val="0"/>
          <w:lang w:val="en-GB"/>
          <w14:ligatures w14:val="none"/>
        </w:rPr>
        <w:t xml:space="preserve">agrarian imaginaries, </w:t>
      </w:r>
      <w:r w:rsidR="003233E4" w:rsidRPr="008B086D">
        <w:rPr>
          <w:rFonts w:ascii="Gill Sans MT" w:eastAsia="Gill Sans MT" w:hAnsi="Gill Sans MT" w:cs="Gill Sans MT"/>
          <w:kern w:val="0"/>
          <w:lang w:val="en-GB"/>
          <w14:ligatures w14:val="none"/>
        </w:rPr>
        <w:t xml:space="preserve">waiting time, </w:t>
      </w:r>
      <w:r w:rsidR="00677D86" w:rsidRPr="008B086D">
        <w:rPr>
          <w:rFonts w:ascii="Gill Sans MT" w:eastAsia="Gill Sans MT" w:hAnsi="Gill Sans MT" w:cs="Gill Sans MT"/>
          <w:kern w:val="0"/>
          <w:lang w:val="en-GB"/>
          <w14:ligatures w14:val="none"/>
        </w:rPr>
        <w:t>agricultural</w:t>
      </w:r>
      <w:r w:rsidR="003233E4" w:rsidRPr="008B086D">
        <w:rPr>
          <w:rFonts w:ascii="Gill Sans MT" w:eastAsia="Gill Sans MT" w:hAnsi="Gill Sans MT" w:cs="Gill Sans MT"/>
          <w:kern w:val="0"/>
          <w:lang w:val="en-GB"/>
          <w14:ligatures w14:val="none"/>
        </w:rPr>
        <w:t xml:space="preserve"> product</w:t>
      </w:r>
      <w:r w:rsidR="00677D86" w:rsidRPr="008B086D">
        <w:rPr>
          <w:rFonts w:ascii="Gill Sans MT" w:eastAsia="Gill Sans MT" w:hAnsi="Gill Sans MT" w:cs="Gill Sans MT"/>
          <w:kern w:val="0"/>
          <w:lang w:val="en-GB"/>
          <w14:ligatures w14:val="none"/>
        </w:rPr>
        <w:t>ion</w:t>
      </w:r>
      <w:r w:rsidR="00843241" w:rsidRPr="008B086D">
        <w:rPr>
          <w:rFonts w:ascii="Gill Sans MT" w:eastAsia="Gill Sans MT" w:hAnsi="Gill Sans MT" w:cs="Gill Sans MT"/>
          <w:kern w:val="0"/>
          <w:lang w:val="en-GB"/>
          <w14:ligatures w14:val="none"/>
        </w:rPr>
        <w:t xml:space="preserve"> cycles,</w:t>
      </w:r>
      <w:r w:rsidR="00A31B2F" w:rsidRPr="008B086D">
        <w:rPr>
          <w:rFonts w:ascii="Gill Sans MT" w:eastAsia="Gill Sans MT" w:hAnsi="Gill Sans MT" w:cs="Gill Sans MT"/>
          <w:kern w:val="0"/>
          <w:lang w:val="en-GB"/>
          <w14:ligatures w14:val="none"/>
        </w:rPr>
        <w:t xml:space="preserve"> </w:t>
      </w:r>
      <w:r w:rsidR="00722FA1" w:rsidRPr="008B086D">
        <w:rPr>
          <w:rFonts w:ascii="Gill Sans MT" w:eastAsia="Gill Sans MT" w:hAnsi="Gill Sans MT" w:cs="Gill Sans MT"/>
          <w:kern w:val="0"/>
          <w:lang w:val="en-GB"/>
          <w14:ligatures w14:val="none"/>
        </w:rPr>
        <w:t xml:space="preserve">or the appeal to biblical or </w:t>
      </w:r>
      <w:r w:rsidR="0095074F" w:rsidRPr="008B086D">
        <w:rPr>
          <w:rFonts w:ascii="Gill Sans MT" w:eastAsia="Gill Sans MT" w:hAnsi="Gill Sans MT" w:cs="Gill Sans MT"/>
          <w:kern w:val="0"/>
          <w:lang w:val="en-GB"/>
          <w14:ligatures w14:val="none"/>
        </w:rPr>
        <w:t xml:space="preserve">future </w:t>
      </w:r>
      <w:r w:rsidR="00722FA1" w:rsidRPr="008B086D">
        <w:rPr>
          <w:rFonts w:ascii="Gill Sans MT" w:eastAsia="Gill Sans MT" w:hAnsi="Gill Sans MT" w:cs="Gill Sans MT"/>
          <w:kern w:val="0"/>
          <w:lang w:val="en-GB"/>
          <w14:ligatures w14:val="none"/>
        </w:rPr>
        <w:t>time</w:t>
      </w:r>
      <w:r w:rsidR="0095074F" w:rsidRPr="008B086D">
        <w:rPr>
          <w:rFonts w:ascii="Gill Sans MT" w:eastAsia="Gill Sans MT" w:hAnsi="Gill Sans MT" w:cs="Gill Sans MT"/>
          <w:kern w:val="0"/>
          <w:lang w:val="en-GB"/>
          <w14:ligatures w14:val="none"/>
        </w:rPr>
        <w:t xml:space="preserve"> in policies</w:t>
      </w:r>
      <w:r w:rsidR="00843241" w:rsidRPr="008B086D">
        <w:rPr>
          <w:rFonts w:ascii="Gill Sans MT" w:eastAsia="Gill Sans MT" w:hAnsi="Gill Sans MT" w:cs="Gill Sans MT"/>
          <w:kern w:val="0"/>
          <w:lang w:val="en-GB"/>
          <w14:ligatures w14:val="none"/>
        </w:rPr>
        <w:t>.</w:t>
      </w:r>
      <w:r w:rsidR="00A92D17" w:rsidRPr="008B086D">
        <w:rPr>
          <w:rFonts w:ascii="Gill Sans MT" w:eastAsia="Gill Sans MT" w:hAnsi="Gill Sans MT" w:cs="Gill Sans MT"/>
          <w:kern w:val="0"/>
          <w:lang w:val="en-GB"/>
          <w14:ligatures w14:val="none"/>
        </w:rPr>
        <w:t xml:space="preserve"> </w:t>
      </w:r>
      <w:r w:rsidR="00680ACF" w:rsidRPr="008B086D">
        <w:rPr>
          <w:rFonts w:ascii="Gill Sans MT" w:eastAsia="Gill Sans MT" w:hAnsi="Gill Sans MT" w:cs="Gill Sans MT"/>
          <w:kern w:val="0"/>
          <w:lang w:val="en-GB"/>
          <w14:ligatures w14:val="none"/>
        </w:rPr>
        <w:t xml:space="preserve">For a book on agriculture, </w:t>
      </w:r>
      <w:r w:rsidR="000D734A" w:rsidRPr="008B086D">
        <w:rPr>
          <w:rFonts w:ascii="Gill Sans MT" w:eastAsia="Gill Sans MT" w:hAnsi="Gill Sans MT" w:cs="Gill Sans MT"/>
          <w:kern w:val="0"/>
          <w:lang w:val="en-GB"/>
          <w14:ligatures w14:val="none"/>
        </w:rPr>
        <w:t xml:space="preserve">that ends with </w:t>
      </w:r>
      <w:r w:rsidR="008F458B" w:rsidRPr="008B086D">
        <w:rPr>
          <w:rFonts w:ascii="Gill Sans MT" w:eastAsia="Gill Sans MT" w:hAnsi="Gill Sans MT" w:cs="Gill Sans MT"/>
          <w:kern w:val="0"/>
          <w:lang w:val="en-GB"/>
          <w14:ligatures w14:val="none"/>
        </w:rPr>
        <w:t xml:space="preserve">the very vast question of how to democratise food production under climate change, </w:t>
      </w:r>
      <w:r w:rsidR="00B46C02" w:rsidRPr="008B086D">
        <w:rPr>
          <w:rFonts w:ascii="Gill Sans MT" w:eastAsia="Gill Sans MT" w:hAnsi="Gill Sans MT" w:cs="Gill Sans MT"/>
          <w:kern w:val="0"/>
          <w:lang w:val="en-GB"/>
          <w14:ligatures w14:val="none"/>
        </w:rPr>
        <w:t xml:space="preserve">the focus on time </w:t>
      </w:r>
      <w:r w:rsidR="00455312" w:rsidRPr="008B086D">
        <w:rPr>
          <w:rFonts w:ascii="Gill Sans MT" w:eastAsia="Gill Sans MT" w:hAnsi="Gill Sans MT" w:cs="Gill Sans MT"/>
          <w:kern w:val="0"/>
          <w:lang w:val="en-GB"/>
          <w14:ligatures w14:val="none"/>
        </w:rPr>
        <w:t xml:space="preserve">sometimes </w:t>
      </w:r>
      <w:r w:rsidR="00B46C02" w:rsidRPr="008B086D">
        <w:rPr>
          <w:rFonts w:ascii="Gill Sans MT" w:eastAsia="Gill Sans MT" w:hAnsi="Gill Sans MT" w:cs="Gill Sans MT"/>
          <w:kern w:val="0"/>
          <w:lang w:val="en-GB"/>
          <w14:ligatures w14:val="none"/>
        </w:rPr>
        <w:t>comes</w:t>
      </w:r>
      <w:r w:rsidR="00455312" w:rsidRPr="008B086D">
        <w:rPr>
          <w:rFonts w:ascii="Gill Sans MT" w:eastAsia="Gill Sans MT" w:hAnsi="Gill Sans MT" w:cs="Gill Sans MT"/>
          <w:kern w:val="0"/>
          <w:lang w:val="en-GB"/>
          <w14:ligatures w14:val="none"/>
        </w:rPr>
        <w:t xml:space="preserve"> </w:t>
      </w:r>
      <w:r w:rsidR="00B46C02" w:rsidRPr="008B086D">
        <w:rPr>
          <w:rFonts w:ascii="Gill Sans MT" w:eastAsia="Gill Sans MT" w:hAnsi="Gill Sans MT" w:cs="Gill Sans MT"/>
          <w:kern w:val="0"/>
          <w:lang w:val="en-GB"/>
          <w14:ligatures w14:val="none"/>
        </w:rPr>
        <w:t xml:space="preserve">at the expense of </w:t>
      </w:r>
      <w:r w:rsidR="00356EF6" w:rsidRPr="008B086D">
        <w:rPr>
          <w:rFonts w:ascii="Gill Sans MT" w:eastAsia="Gill Sans MT" w:hAnsi="Gill Sans MT" w:cs="Gill Sans MT"/>
          <w:kern w:val="0"/>
          <w:lang w:val="en-GB"/>
          <w14:ligatures w14:val="none"/>
        </w:rPr>
        <w:t xml:space="preserve">the agrarian </w:t>
      </w:r>
      <w:r w:rsidR="00677D86" w:rsidRPr="008B086D">
        <w:rPr>
          <w:rFonts w:ascii="Gill Sans MT" w:eastAsia="Gill Sans MT" w:hAnsi="Gill Sans MT" w:cs="Gill Sans MT"/>
          <w:kern w:val="0"/>
          <w:lang w:val="en-GB"/>
          <w14:ligatures w14:val="none"/>
        </w:rPr>
        <w:t>aspect of</w:t>
      </w:r>
      <w:r w:rsidR="00356EF6" w:rsidRPr="008B086D">
        <w:rPr>
          <w:rFonts w:ascii="Gill Sans MT" w:eastAsia="Gill Sans MT" w:hAnsi="Gill Sans MT" w:cs="Gill Sans MT"/>
          <w:kern w:val="0"/>
          <w:lang w:val="en-GB"/>
          <w14:ligatures w14:val="none"/>
        </w:rPr>
        <w:t xml:space="preserve"> </w:t>
      </w:r>
      <w:r w:rsidR="00356EF6" w:rsidRPr="008B086D">
        <w:rPr>
          <w:rFonts w:ascii="Gill Sans MT" w:eastAsia="Gill Sans MT" w:hAnsi="Gill Sans MT" w:cs="Gill Sans MT"/>
          <w:i/>
          <w:iCs/>
          <w:kern w:val="0"/>
          <w:lang w:val="en-GB"/>
          <w14:ligatures w14:val="none"/>
        </w:rPr>
        <w:t>agrarian</w:t>
      </w:r>
      <w:r w:rsidR="00356EF6" w:rsidRPr="008B086D">
        <w:rPr>
          <w:rFonts w:ascii="Gill Sans MT" w:eastAsia="Gill Sans MT" w:hAnsi="Gill Sans MT" w:cs="Gill Sans MT"/>
          <w:kern w:val="0"/>
          <w:lang w:val="en-GB"/>
          <w14:ligatures w14:val="none"/>
        </w:rPr>
        <w:t xml:space="preserve"> governance</w:t>
      </w:r>
      <w:r w:rsidR="005028D6" w:rsidRPr="008B086D">
        <w:rPr>
          <w:rFonts w:ascii="Gill Sans MT" w:eastAsia="Gill Sans MT" w:hAnsi="Gill Sans MT" w:cs="Gill Sans MT"/>
          <w:kern w:val="0"/>
          <w:lang w:val="en-GB"/>
          <w14:ligatures w14:val="none"/>
        </w:rPr>
        <w:t xml:space="preserve">. </w:t>
      </w:r>
      <w:r w:rsidR="00713B95" w:rsidRPr="008B086D">
        <w:rPr>
          <w:rFonts w:ascii="Gill Sans MT" w:eastAsia="Gill Sans MT" w:hAnsi="Gill Sans MT" w:cs="Gill Sans MT"/>
          <w:kern w:val="0"/>
          <w:lang w:val="en-GB"/>
          <w14:ligatures w14:val="none"/>
        </w:rPr>
        <w:t xml:space="preserve">Who lies behind terms used by </w:t>
      </w:r>
      <w:r w:rsidR="00517121" w:rsidRPr="008B086D">
        <w:rPr>
          <w:rFonts w:ascii="Gill Sans MT" w:eastAsia="Gill Sans MT" w:hAnsi="Gill Sans MT" w:cs="Gill Sans MT"/>
          <w:kern w:val="0"/>
          <w:lang w:val="en-GB"/>
          <w14:ligatures w14:val="none"/>
        </w:rPr>
        <w:t xml:space="preserve">the author such as </w:t>
      </w:r>
      <w:r w:rsidR="00680ACF" w:rsidRPr="008B086D">
        <w:rPr>
          <w:rFonts w:ascii="Gill Sans MT" w:eastAsia="Gill Sans MT" w:hAnsi="Gill Sans MT" w:cs="Gill Sans MT"/>
          <w:kern w:val="0"/>
          <w:lang w:val="en-GB"/>
          <w14:ligatures w14:val="none"/>
        </w:rPr>
        <w:t>‘agriculturalist</w:t>
      </w:r>
      <w:r w:rsidR="00B2437C" w:rsidRPr="008B086D">
        <w:rPr>
          <w:rFonts w:ascii="Gill Sans MT" w:eastAsia="Gill Sans MT" w:hAnsi="Gill Sans MT" w:cs="Gill Sans MT"/>
          <w:kern w:val="0"/>
          <w:lang w:val="en-GB"/>
          <w14:ligatures w14:val="none"/>
        </w:rPr>
        <w:t>s</w:t>
      </w:r>
      <w:r w:rsidR="00680ACF" w:rsidRPr="008B086D">
        <w:rPr>
          <w:rFonts w:ascii="Gill Sans MT" w:eastAsia="Gill Sans MT" w:hAnsi="Gill Sans MT" w:cs="Gill Sans MT"/>
          <w:kern w:val="0"/>
          <w:lang w:val="en-GB"/>
          <w14:ligatures w14:val="none"/>
        </w:rPr>
        <w:t>’</w:t>
      </w:r>
      <w:r w:rsidR="00455312" w:rsidRPr="008B086D">
        <w:rPr>
          <w:rFonts w:ascii="Gill Sans MT" w:eastAsia="Gill Sans MT" w:hAnsi="Gill Sans MT" w:cs="Gill Sans MT"/>
          <w:kern w:val="0"/>
          <w:lang w:val="en-GB"/>
          <w14:ligatures w14:val="none"/>
        </w:rPr>
        <w:t xml:space="preserve"> for instance</w:t>
      </w:r>
      <w:r w:rsidR="00B2437C" w:rsidRPr="008B086D">
        <w:rPr>
          <w:rFonts w:ascii="Gill Sans MT" w:eastAsia="Gill Sans MT" w:hAnsi="Gill Sans MT" w:cs="Gill Sans MT"/>
          <w:kern w:val="0"/>
          <w:lang w:val="en-GB"/>
          <w14:ligatures w14:val="none"/>
        </w:rPr>
        <w:t xml:space="preserve">? </w:t>
      </w:r>
      <w:r w:rsidR="004C4D48" w:rsidRPr="008B086D">
        <w:rPr>
          <w:rFonts w:ascii="Gill Sans MT" w:eastAsia="Gill Sans MT" w:hAnsi="Gill Sans MT" w:cs="Gill Sans MT"/>
          <w:kern w:val="0"/>
          <w:lang w:val="en-GB"/>
          <w14:ligatures w14:val="none"/>
        </w:rPr>
        <w:t>Potential</w:t>
      </w:r>
      <w:r w:rsidR="000D734A" w:rsidRPr="008B086D">
        <w:rPr>
          <w:rFonts w:ascii="Gill Sans MT" w:eastAsia="Gill Sans MT" w:hAnsi="Gill Sans MT" w:cs="Gill Sans MT"/>
          <w:kern w:val="0"/>
          <w:lang w:val="en-GB"/>
          <w14:ligatures w14:val="none"/>
        </w:rPr>
        <w:t xml:space="preserve"> comparisons with agricultural developments </w:t>
      </w:r>
      <w:r w:rsidR="0095074F" w:rsidRPr="008B086D">
        <w:rPr>
          <w:rFonts w:ascii="Gill Sans MT" w:eastAsia="Gill Sans MT" w:hAnsi="Gill Sans MT" w:cs="Gill Sans MT"/>
          <w:kern w:val="0"/>
          <w:lang w:val="en-GB"/>
          <w14:ligatures w14:val="none"/>
        </w:rPr>
        <w:t xml:space="preserve">in neighbouring </w:t>
      </w:r>
      <w:r w:rsidR="006A0057" w:rsidRPr="008B086D">
        <w:rPr>
          <w:rFonts w:ascii="Gill Sans MT" w:eastAsia="Gill Sans MT" w:hAnsi="Gill Sans MT" w:cs="Gill Sans MT"/>
          <w:kern w:val="0"/>
          <w:lang w:val="en-GB"/>
          <w14:ligatures w14:val="none"/>
        </w:rPr>
        <w:t>countries</w:t>
      </w:r>
      <w:r w:rsidR="004C4D48" w:rsidRPr="008B086D">
        <w:rPr>
          <w:rFonts w:ascii="Gill Sans MT" w:eastAsia="Gill Sans MT" w:hAnsi="Gill Sans MT" w:cs="Gill Sans MT"/>
          <w:kern w:val="0"/>
          <w:lang w:val="en-GB"/>
          <w14:ligatures w14:val="none"/>
        </w:rPr>
        <w:t xml:space="preserve"> </w:t>
      </w:r>
      <w:r w:rsidR="005028D6" w:rsidRPr="008B086D">
        <w:rPr>
          <w:rFonts w:ascii="Gill Sans MT" w:eastAsia="Gill Sans MT" w:hAnsi="Gill Sans MT" w:cs="Gill Sans MT"/>
          <w:kern w:val="0"/>
          <w:lang w:val="en-GB"/>
          <w14:ligatures w14:val="none"/>
        </w:rPr>
        <w:t>c</w:t>
      </w:r>
      <w:r w:rsidR="00581DB1" w:rsidRPr="008B086D">
        <w:rPr>
          <w:rFonts w:ascii="Gill Sans MT" w:eastAsia="Gill Sans MT" w:hAnsi="Gill Sans MT" w:cs="Gill Sans MT"/>
          <w:kern w:val="0"/>
          <w:lang w:val="en-GB"/>
          <w14:ligatures w14:val="none"/>
        </w:rPr>
        <w:t xml:space="preserve">ould </w:t>
      </w:r>
      <w:r w:rsidR="00C86C2F" w:rsidRPr="008B086D">
        <w:rPr>
          <w:rFonts w:ascii="Gill Sans MT" w:eastAsia="Gill Sans MT" w:hAnsi="Gill Sans MT" w:cs="Gill Sans MT"/>
          <w:kern w:val="0"/>
          <w:lang w:val="en-GB"/>
          <w14:ligatures w14:val="none"/>
        </w:rPr>
        <w:t>for example</w:t>
      </w:r>
      <w:r w:rsidR="004C4D48" w:rsidRPr="008B086D">
        <w:rPr>
          <w:rFonts w:ascii="Gill Sans MT" w:eastAsia="Gill Sans MT" w:hAnsi="Gill Sans MT" w:cs="Gill Sans MT"/>
          <w:kern w:val="0"/>
          <w:lang w:val="en-GB"/>
          <w14:ligatures w14:val="none"/>
        </w:rPr>
        <w:t xml:space="preserve"> have </w:t>
      </w:r>
      <w:r w:rsidR="00581DB1" w:rsidRPr="008B086D">
        <w:rPr>
          <w:rFonts w:ascii="Gill Sans MT" w:eastAsia="Gill Sans MT" w:hAnsi="Gill Sans MT" w:cs="Gill Sans MT"/>
          <w:kern w:val="0"/>
          <w:lang w:val="en-GB"/>
          <w14:ligatures w14:val="none"/>
        </w:rPr>
        <w:t>clarif</w:t>
      </w:r>
      <w:r w:rsidR="004C4D48" w:rsidRPr="008B086D">
        <w:rPr>
          <w:rFonts w:ascii="Gill Sans MT" w:eastAsia="Gill Sans MT" w:hAnsi="Gill Sans MT" w:cs="Gill Sans MT"/>
          <w:kern w:val="0"/>
          <w:lang w:val="en-GB"/>
          <w14:ligatures w14:val="none"/>
        </w:rPr>
        <w:t>ied</w:t>
      </w:r>
      <w:r w:rsidR="00581DB1" w:rsidRPr="008B086D">
        <w:rPr>
          <w:rFonts w:ascii="Gill Sans MT" w:eastAsia="Gill Sans MT" w:hAnsi="Gill Sans MT" w:cs="Gill Sans MT"/>
          <w:kern w:val="0"/>
          <w:lang w:val="en-GB"/>
          <w14:ligatures w14:val="none"/>
        </w:rPr>
        <w:t xml:space="preserve"> what is settler-specific and what is agro-industrial</w:t>
      </w:r>
      <w:r w:rsidR="00517121" w:rsidRPr="008B086D">
        <w:rPr>
          <w:rFonts w:ascii="Gill Sans MT" w:eastAsia="Gill Sans MT" w:hAnsi="Gill Sans MT" w:cs="Gill Sans MT"/>
          <w:kern w:val="0"/>
          <w:lang w:val="en-GB"/>
          <w14:ligatures w14:val="none"/>
        </w:rPr>
        <w:t xml:space="preserve"> more broadly</w:t>
      </w:r>
      <w:r w:rsidR="00581DB1" w:rsidRPr="008B086D">
        <w:rPr>
          <w:rFonts w:ascii="Gill Sans MT" w:eastAsia="Gill Sans MT" w:hAnsi="Gill Sans MT" w:cs="Gill Sans MT"/>
          <w:kern w:val="0"/>
          <w:lang w:val="en-GB"/>
          <w14:ligatures w14:val="none"/>
        </w:rPr>
        <w:t>.</w:t>
      </w:r>
    </w:p>
    <w:p w14:paraId="3E4616F0" w14:textId="3709029D" w:rsidR="66908785" w:rsidRPr="008B086D" w:rsidRDefault="005028D6" w:rsidP="00DE7B0B">
      <w:pPr>
        <w:spacing w:after="0" w:line="240" w:lineRule="auto"/>
        <w:ind w:firstLine="709"/>
        <w:jc w:val="both"/>
        <w:rPr>
          <w:rFonts w:ascii="Gill Sans MT" w:eastAsia="Calibri" w:hAnsi="Gill Sans MT" w:cs="Calibri"/>
          <w:color w:val="000000"/>
          <w:lang w:val="en-GB"/>
        </w:rPr>
      </w:pPr>
      <w:r w:rsidRPr="008B086D">
        <w:rPr>
          <w:rFonts w:ascii="Gill Sans MT" w:eastAsia="Gill Sans MT" w:hAnsi="Gill Sans MT" w:cs="Gill Sans MT"/>
          <w:lang w:val="en-GB"/>
        </w:rPr>
        <w:lastRenderedPageBreak/>
        <w:t xml:space="preserve">None of these reservations blunt the book’s importance. </w:t>
      </w:r>
      <w:r w:rsidR="004C4D48" w:rsidRPr="008B086D">
        <w:rPr>
          <w:rFonts w:ascii="Gill Sans MT" w:eastAsia="Gill Sans MT" w:hAnsi="Gill Sans MT" w:cs="Gill Sans MT"/>
          <w:lang w:val="en-GB"/>
        </w:rPr>
        <w:t>In an era when ‘sustainable futures’ are invoked to justify decisions</w:t>
      </w:r>
      <w:r w:rsidR="005C65C2" w:rsidRPr="008B086D">
        <w:rPr>
          <w:rFonts w:ascii="Gill Sans MT" w:eastAsia="Gill Sans MT" w:hAnsi="Gill Sans MT" w:cs="Gill Sans MT"/>
          <w:lang w:val="en-GB"/>
        </w:rPr>
        <w:t xml:space="preserve"> worldwide</w:t>
      </w:r>
      <w:r w:rsidR="004C4D48" w:rsidRPr="008B086D">
        <w:rPr>
          <w:rFonts w:ascii="Gill Sans MT" w:eastAsia="Gill Sans MT" w:hAnsi="Gill Sans MT" w:cs="Gill Sans MT"/>
          <w:lang w:val="en-GB"/>
        </w:rPr>
        <w:t xml:space="preserve">, </w:t>
      </w:r>
      <w:r w:rsidR="00C20D6F" w:rsidRPr="008B086D">
        <w:rPr>
          <w:rFonts w:ascii="Gill Sans MT" w:eastAsia="Gill Sans MT" w:hAnsi="Gill Sans MT" w:cs="Gill Sans MT"/>
          <w:kern w:val="0"/>
          <w:lang w:val="en-GB"/>
          <w14:ligatures w14:val="none"/>
        </w:rPr>
        <w:t>the book effectively shows the many paradoxes behind Israel’s supposed commitment to ‘sustainable agriculture’ and ‘conservation’, a hypocrisy made even more intolerable since 2023.</w:t>
      </w:r>
      <w:r w:rsidR="0052419E" w:rsidRPr="008B086D">
        <w:rPr>
          <w:rFonts w:ascii="Gill Sans MT" w:eastAsia="Gill Sans MT" w:hAnsi="Gill Sans MT" w:cs="Gill Sans MT"/>
          <w:lang w:val="en-GB"/>
        </w:rPr>
        <w:t xml:space="preserve"> </w:t>
      </w:r>
      <w:r w:rsidR="005C65C2" w:rsidRPr="008B086D">
        <w:rPr>
          <w:rFonts w:ascii="Gill Sans MT" w:eastAsia="Gill Sans MT" w:hAnsi="Gill Sans MT" w:cs="Gill Sans MT"/>
          <w:kern w:val="0"/>
          <w:lang w:val="en-GB"/>
          <w14:ligatures w14:val="none"/>
        </w:rPr>
        <w:t>T</w:t>
      </w:r>
      <w:r w:rsidR="0024446B" w:rsidRPr="008B086D">
        <w:rPr>
          <w:rFonts w:ascii="Gill Sans MT" w:eastAsia="Gill Sans MT" w:hAnsi="Gill Sans MT" w:cs="Gill Sans MT"/>
          <w:kern w:val="0"/>
          <w:lang w:val="en-GB"/>
          <w14:ligatures w14:val="none"/>
        </w:rPr>
        <w:t xml:space="preserve">his book is </w:t>
      </w:r>
      <w:r w:rsidR="00675F81" w:rsidRPr="008B086D">
        <w:rPr>
          <w:rFonts w:ascii="Gill Sans MT" w:eastAsia="Gill Sans MT" w:hAnsi="Gill Sans MT" w:cs="Gill Sans MT"/>
          <w:kern w:val="0"/>
          <w:lang w:val="en-GB"/>
          <w14:ligatures w14:val="none"/>
        </w:rPr>
        <w:t xml:space="preserve">hence </w:t>
      </w:r>
      <w:r w:rsidR="0024446B" w:rsidRPr="008B086D">
        <w:rPr>
          <w:rFonts w:ascii="Gill Sans MT" w:eastAsia="Gill Sans MT" w:hAnsi="Gill Sans MT" w:cs="Gill Sans MT"/>
          <w:kern w:val="0"/>
          <w:lang w:val="en-GB"/>
          <w14:ligatures w14:val="none"/>
        </w:rPr>
        <w:t>an extremely well</w:t>
      </w:r>
      <w:r w:rsidR="00675F81" w:rsidRPr="008B086D">
        <w:rPr>
          <w:rFonts w:ascii="Gill Sans MT" w:eastAsia="Gill Sans MT" w:hAnsi="Gill Sans MT" w:cs="Gill Sans MT"/>
          <w:kern w:val="0"/>
          <w:lang w:val="en-GB"/>
          <w14:ligatures w14:val="none"/>
        </w:rPr>
        <w:t>-</w:t>
      </w:r>
      <w:r w:rsidR="0024446B" w:rsidRPr="008B086D">
        <w:rPr>
          <w:rFonts w:ascii="Gill Sans MT" w:eastAsia="Gill Sans MT" w:hAnsi="Gill Sans MT" w:cs="Gill Sans MT"/>
          <w:kern w:val="0"/>
          <w:lang w:val="en-GB"/>
          <w14:ligatures w14:val="none"/>
        </w:rPr>
        <w:t xml:space="preserve">documented, ethnographic and historical account of how </w:t>
      </w:r>
      <w:r w:rsidR="00BC4104" w:rsidRPr="008B086D">
        <w:rPr>
          <w:rFonts w:ascii="Gill Sans MT" w:eastAsia="Gill Sans MT" w:hAnsi="Gill Sans MT" w:cs="Gill Sans MT"/>
          <w:kern w:val="0"/>
          <w:lang w:val="en-GB"/>
          <w14:ligatures w14:val="none"/>
        </w:rPr>
        <w:t xml:space="preserve">the politics of time </w:t>
      </w:r>
      <w:r w:rsidR="0024446B" w:rsidRPr="008B086D">
        <w:rPr>
          <w:rFonts w:ascii="Gill Sans MT" w:eastAsia="Gill Sans MT" w:hAnsi="Gill Sans MT" w:cs="Gill Sans MT"/>
          <w:kern w:val="0"/>
          <w:lang w:val="en-GB"/>
          <w14:ligatures w14:val="none"/>
        </w:rPr>
        <w:t xml:space="preserve">has long shaped agriculture and mediated the dispossession of Palestinians in Israel/Palestine. </w:t>
      </w:r>
    </w:p>
    <w:p w14:paraId="6CADEAF6" w14:textId="77777777" w:rsidR="00DE7B0B" w:rsidRDefault="00DE7B0B" w:rsidP="00633E94">
      <w:pPr>
        <w:spacing w:after="0" w:line="240" w:lineRule="auto"/>
        <w:jc w:val="both"/>
        <w:rPr>
          <w:rFonts w:ascii="Gill Sans MT" w:eastAsia="Calibri" w:hAnsi="Gill Sans MT" w:cs="Calibri"/>
          <w:color w:val="000000"/>
          <w:lang w:val="en-GB"/>
        </w:rPr>
      </w:pPr>
    </w:p>
    <w:p w14:paraId="284F1966" w14:textId="77777777" w:rsidR="00633E94" w:rsidRPr="008B086D" w:rsidRDefault="00633E94" w:rsidP="00633E94">
      <w:pPr>
        <w:spacing w:after="0" w:line="240" w:lineRule="auto"/>
        <w:jc w:val="both"/>
        <w:rPr>
          <w:rFonts w:ascii="Gill Sans MT" w:eastAsia="Calibri" w:hAnsi="Gill Sans MT" w:cs="Calibri"/>
          <w:color w:val="000000"/>
          <w:lang w:val="en-GB"/>
        </w:rPr>
      </w:pPr>
    </w:p>
    <w:p w14:paraId="480E8723" w14:textId="77777777" w:rsidR="00512749" w:rsidRPr="008B086D" w:rsidRDefault="00512749" w:rsidP="00DE7B0B">
      <w:pPr>
        <w:spacing w:after="0" w:line="192" w:lineRule="auto"/>
        <w:jc w:val="both"/>
        <w:rPr>
          <w:rFonts w:ascii="Gill Sans MT" w:eastAsia="PMingLiU" w:hAnsi="Gill Sans MT" w:cs="Arial"/>
          <w:lang w:val="en-GB" w:eastAsia="zh-TW"/>
        </w:rPr>
      </w:pPr>
      <w:r w:rsidRPr="008B086D">
        <w:rPr>
          <w:rFonts w:ascii="Gill Sans MT" w:eastAsia="PMingLiU" w:hAnsi="Gill Sans MT" w:cs="Arial"/>
          <w:noProof/>
          <w:lang w:val="en-GB"/>
        </w:rPr>
        <mc:AlternateContent>
          <mc:Choice Requires="wps">
            <w:drawing>
              <wp:anchor distT="0" distB="0" distL="114300" distR="114300" simplePos="0" relativeHeight="251659264" behindDoc="0" locked="0" layoutInCell="1" allowOverlap="1" wp14:anchorId="259738ED" wp14:editId="356F96C4">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C6591D8"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2FFB7CCA" w14:textId="3D46DD27" w:rsidR="00DE7B0B" w:rsidRPr="008B086D" w:rsidRDefault="00512749" w:rsidP="00F51448">
      <w:pPr>
        <w:spacing w:after="0" w:line="240" w:lineRule="auto"/>
        <w:jc w:val="both"/>
        <w:rPr>
          <w:rFonts w:ascii="Gill Sans MT" w:eastAsia="Gill Sans MT" w:hAnsi="Gill Sans MT" w:cs="Gill Sans MT"/>
          <w:color w:val="000000"/>
          <w:lang w:val="en-GB"/>
        </w:rPr>
      </w:pPr>
      <w:r w:rsidRPr="008B086D">
        <w:rPr>
          <w:rFonts w:ascii="Gill Sans MT" w:eastAsia="Gill Sans MT" w:hAnsi="Gill Sans MT" w:cs="Gill Sans MT"/>
          <w:color w:val="000000"/>
          <w:lang w:val="en-GB"/>
        </w:rPr>
        <w:t xml:space="preserve">This work is copyright of the author. </w:t>
      </w:r>
    </w:p>
    <w:p w14:paraId="398B3033" w14:textId="77777777" w:rsidR="00DE7B0B" w:rsidRPr="008B086D" w:rsidRDefault="00DE7B0B" w:rsidP="00F51448">
      <w:pPr>
        <w:spacing w:after="0" w:line="240" w:lineRule="auto"/>
        <w:jc w:val="both"/>
        <w:rPr>
          <w:rFonts w:ascii="Gill Sans MT" w:eastAsia="Gill Sans MT" w:hAnsi="Gill Sans MT" w:cs="Gill Sans MT"/>
          <w:color w:val="000000"/>
          <w:lang w:val="en-GB"/>
        </w:rPr>
      </w:pPr>
    </w:p>
    <w:p w14:paraId="70631E88" w14:textId="5DEF1F28" w:rsidR="00512749" w:rsidRPr="008B086D" w:rsidRDefault="00512749" w:rsidP="00F51448">
      <w:pPr>
        <w:spacing w:after="0" w:line="240" w:lineRule="auto"/>
        <w:jc w:val="both"/>
        <w:rPr>
          <w:rFonts w:ascii="Gill Sans MT" w:hAnsi="Gill Sans MT"/>
          <w:lang w:val="en-GB"/>
        </w:rPr>
      </w:pPr>
      <w:r w:rsidRPr="008B086D">
        <w:rPr>
          <w:rFonts w:ascii="Gill Sans MT" w:eastAsia="Gill Sans MT" w:hAnsi="Gill Sans MT" w:cs="Gill Sans MT"/>
          <w:color w:val="000000"/>
          <w:lang w:val="en-GB"/>
        </w:rPr>
        <w:t>It has been published by JASO under a Creative Commons Attribution-</w:t>
      </w:r>
      <w:proofErr w:type="spellStart"/>
      <w:r w:rsidRPr="008B086D">
        <w:rPr>
          <w:rFonts w:ascii="Gill Sans MT" w:eastAsia="Gill Sans MT" w:hAnsi="Gill Sans MT" w:cs="Gill Sans MT"/>
          <w:color w:val="000000"/>
          <w:lang w:val="en-GB"/>
        </w:rPr>
        <w:t>NonCommercial</w:t>
      </w:r>
      <w:proofErr w:type="spellEnd"/>
      <w:r w:rsidRPr="008B086D">
        <w:rPr>
          <w:rFonts w:ascii="Gill Sans MT" w:eastAsia="Gill Sans MT" w:hAnsi="Gill Sans MT" w:cs="Gill Sans MT"/>
          <w:color w:val="000000"/>
          <w:lang w:val="en-GB"/>
        </w:rPr>
        <w:t>-</w:t>
      </w:r>
      <w:proofErr w:type="spellStart"/>
      <w:r w:rsidRPr="008B086D">
        <w:rPr>
          <w:rFonts w:ascii="Gill Sans MT" w:eastAsia="Gill Sans MT" w:hAnsi="Gill Sans MT" w:cs="Gill Sans MT"/>
          <w:color w:val="000000"/>
          <w:lang w:val="en-GB"/>
        </w:rPr>
        <w:t>NonDerivatives</w:t>
      </w:r>
      <w:proofErr w:type="spellEnd"/>
      <w:r w:rsidRPr="008B086D">
        <w:rPr>
          <w:rFonts w:ascii="Gill Sans MT" w:eastAsia="Gill Sans MT" w:hAnsi="Gill Sans MT" w:cs="Gill Sans MT"/>
          <w:color w:val="000000"/>
          <w:lang w:val="en-GB"/>
        </w:rPr>
        <w:t xml:space="preserve"> </w:t>
      </w:r>
      <w:proofErr w:type="spellStart"/>
      <w:r w:rsidRPr="008B086D">
        <w:rPr>
          <w:rFonts w:ascii="Gill Sans MT" w:eastAsia="Gill Sans MT" w:hAnsi="Gill Sans MT" w:cs="Gill Sans MT"/>
          <w:color w:val="000000"/>
          <w:lang w:val="en-GB"/>
        </w:rPr>
        <w:t>ShareAlike</w:t>
      </w:r>
      <w:proofErr w:type="spellEnd"/>
      <w:r w:rsidRPr="008B086D">
        <w:rPr>
          <w:rFonts w:ascii="Gill Sans MT" w:eastAsia="Gill Sans MT" w:hAnsi="Gill Sans MT" w:cs="Gill Sans MT"/>
          <w:color w:val="000000"/>
          <w:lang w:val="en-GB"/>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8B086D">
          <w:rPr>
            <w:rFonts w:ascii="Gill Sans MT" w:eastAsia="Calibri" w:hAnsi="Gill Sans MT" w:cs="Arial"/>
            <w:color w:val="0563C1"/>
            <w:u w:val="single"/>
            <w:lang w:val="en-GB"/>
          </w:rPr>
          <w:t>https://creativecommons.org/licenses/by-nc-nd/4.0/</w:t>
        </w:r>
      </w:hyperlink>
      <w:r w:rsidRPr="008B086D">
        <w:rPr>
          <w:rFonts w:ascii="Gill Sans MT" w:eastAsia="Gill Sans MT" w:hAnsi="Gill Sans MT" w:cs="Gill Sans MT"/>
          <w:color w:val="000000"/>
          <w:lang w:val="en-GB"/>
        </w:rPr>
        <w:t>)</w:t>
      </w:r>
    </w:p>
    <w:p w14:paraId="3FD58B1A" w14:textId="77777777" w:rsidR="00DE7B0B" w:rsidRPr="008B086D" w:rsidRDefault="00DE7B0B" w:rsidP="00F51448">
      <w:pPr>
        <w:spacing w:after="0" w:line="240" w:lineRule="auto"/>
        <w:jc w:val="center"/>
        <w:rPr>
          <w:rFonts w:ascii="Gill Sans MT" w:eastAsia="Gill Sans MT" w:hAnsi="Gill Sans MT" w:cs="Gill Sans MT"/>
          <w:lang w:val="en-GB"/>
        </w:rPr>
      </w:pPr>
    </w:p>
    <w:p w14:paraId="1AEB3FF6" w14:textId="25BC31F7" w:rsidR="66908785" w:rsidRPr="008B086D" w:rsidRDefault="00DE7B0B" w:rsidP="00F51448">
      <w:pPr>
        <w:spacing w:after="0" w:line="240" w:lineRule="auto"/>
        <w:jc w:val="center"/>
        <w:rPr>
          <w:rFonts w:ascii="Gill Sans MT" w:eastAsia="Gill Sans MT" w:hAnsi="Gill Sans MT" w:cs="Gill Sans MT"/>
          <w:lang w:val="en-GB"/>
        </w:rPr>
      </w:pPr>
      <w:r w:rsidRPr="008B086D">
        <w:rPr>
          <w:rFonts w:ascii="Gill Sans MT" w:eastAsia="MS Mincho" w:hAnsi="Gill Sans MT" w:cs="Arial"/>
          <w:noProof/>
          <w:lang w:val="en-GB" w:eastAsia="zh-CN"/>
        </w:rPr>
        <w:drawing>
          <wp:inline distT="0" distB="0" distL="0" distR="0" wp14:anchorId="14F7BFA9" wp14:editId="2FB6B1A9">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66908785" w:rsidRPr="008B086D" w:rsidSect="00EE37A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fmt="numberInDash" w:start="2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2011" w14:textId="77777777" w:rsidR="00B470F5" w:rsidRDefault="00B470F5" w:rsidP="00615A78">
      <w:pPr>
        <w:spacing w:after="0" w:line="240" w:lineRule="auto"/>
      </w:pPr>
      <w:r>
        <w:separator/>
      </w:r>
    </w:p>
  </w:endnote>
  <w:endnote w:type="continuationSeparator" w:id="0">
    <w:p w14:paraId="14964F72" w14:textId="77777777" w:rsidR="00B470F5" w:rsidRDefault="00B470F5" w:rsidP="0061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C4EE" w14:textId="77777777" w:rsidR="00EE37AC" w:rsidRDefault="00EE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5A088FE2" w14:textId="41903C15" w:rsidR="00FB7CF3" w:rsidRPr="003D5B51" w:rsidRDefault="00FB7CF3" w:rsidP="00FB7CF3">
        <w:pPr>
          <w:pStyle w:val="Footer"/>
          <w:rPr>
            <w:rFonts w:ascii="Gill Sans MT" w:hAnsi="Gill Sans MT"/>
          </w:rPr>
        </w:pPr>
        <w:r w:rsidRPr="003D5B51">
          <w:rPr>
            <w:rFonts w:ascii="Gill Sans MT" w:hAnsi="Gill Sans MT"/>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7F0851B6" w14:textId="77777777" w:rsidR="00FB7CF3" w:rsidRDefault="00FB7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583C" w14:textId="77777777" w:rsidR="00EE37AC" w:rsidRDefault="00EE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CB3A" w14:textId="77777777" w:rsidR="00B470F5" w:rsidRDefault="00B470F5" w:rsidP="00615A78">
      <w:pPr>
        <w:spacing w:after="0" w:line="240" w:lineRule="auto"/>
      </w:pPr>
      <w:r>
        <w:separator/>
      </w:r>
    </w:p>
  </w:footnote>
  <w:footnote w:type="continuationSeparator" w:id="0">
    <w:p w14:paraId="2F114EC5" w14:textId="77777777" w:rsidR="00B470F5" w:rsidRDefault="00B470F5" w:rsidP="00615A78">
      <w:pPr>
        <w:spacing w:after="0" w:line="240" w:lineRule="auto"/>
      </w:pPr>
      <w:r>
        <w:continuationSeparator/>
      </w:r>
    </w:p>
  </w:footnote>
  <w:footnote w:id="1">
    <w:p w14:paraId="459DF096" w14:textId="7B9D6D36" w:rsidR="00512749" w:rsidRPr="00512749" w:rsidRDefault="00512749">
      <w:pPr>
        <w:pStyle w:val="FootnoteText"/>
        <w:rPr>
          <w:rFonts w:ascii="Gill Sans MT" w:hAnsi="Gill Sans MT"/>
        </w:rPr>
      </w:pPr>
      <w:r w:rsidRPr="00512749">
        <w:rPr>
          <w:rStyle w:val="FootnoteReference"/>
          <w:rFonts w:ascii="Gill Sans MT" w:hAnsi="Gill Sans MT"/>
        </w:rPr>
        <w:footnoteRef/>
      </w:r>
      <w:r w:rsidRPr="00512749">
        <w:rPr>
          <w:rFonts w:ascii="Gill Sans MT" w:hAnsi="Gill Sans MT"/>
        </w:rPr>
        <w:t xml:space="preserve"> </w:t>
      </w:r>
      <w:r>
        <w:rPr>
          <w:rFonts w:ascii="Gill Sans MT" w:hAnsi="Gill Sans MT"/>
        </w:rPr>
        <w:t>DPhil candidate</w:t>
      </w:r>
      <w:r w:rsidR="00063EE0">
        <w:rPr>
          <w:rFonts w:ascii="Gill Sans MT" w:hAnsi="Gill Sans MT"/>
        </w:rPr>
        <w:t>,</w:t>
      </w:r>
      <w:r>
        <w:rPr>
          <w:rFonts w:ascii="Gill Sans MT" w:hAnsi="Gill Sans MT"/>
        </w:rPr>
        <w:t xml:space="preserve"> School of Anthropology and Museum Ethnography, University of Oxford. Email: </w:t>
      </w:r>
      <w:hyperlink r:id="rId1" w:history="1">
        <w:r w:rsidR="00063EE0" w:rsidRPr="00B7680D">
          <w:rPr>
            <w:rStyle w:val="Hyperlink"/>
            <w:rFonts w:ascii="Gill Sans MT" w:hAnsi="Gill Sans MT"/>
          </w:rPr>
          <w:t>sacha.mouzin@anthro.ox.ac.uk</w:t>
        </w:r>
      </w:hyperlink>
      <w:r w:rsidR="00063EE0">
        <w:rPr>
          <w:rFonts w:ascii="Gill Sans MT" w:hAnsi="Gill Sans M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B864" w14:textId="77777777" w:rsidR="00EE37AC" w:rsidRDefault="00EE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54A8" w14:textId="54E816D2" w:rsidR="00FB7CF3" w:rsidRPr="00FB7CF3" w:rsidRDefault="00FB7CF3" w:rsidP="00FB7CF3">
    <w:pPr>
      <w:pStyle w:val="Header"/>
      <w:jc w:val="right"/>
      <w:rPr>
        <w:rFonts w:ascii="Gill Sans MT" w:hAnsi="Gill Sans MT"/>
        <w:i/>
        <w:iCs/>
        <w:lang w:val="en-GB"/>
      </w:rPr>
    </w:pPr>
    <w:r w:rsidRPr="00FB7CF3">
      <w:rPr>
        <w:rFonts w:ascii="Gill Sans MT" w:hAnsi="Gill Sans MT"/>
        <w:i/>
        <w:iCs/>
        <w:lang w:val="en-GB"/>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0831" w14:textId="77777777" w:rsidR="00EE37AC" w:rsidRDefault="00EE3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70"/>
    <w:rsid w:val="000146AA"/>
    <w:rsid w:val="00030602"/>
    <w:rsid w:val="00052CFC"/>
    <w:rsid w:val="00063EE0"/>
    <w:rsid w:val="00067CF7"/>
    <w:rsid w:val="00074129"/>
    <w:rsid w:val="000924DD"/>
    <w:rsid w:val="000B5565"/>
    <w:rsid w:val="000C2E02"/>
    <w:rsid w:val="000D734A"/>
    <w:rsid w:val="000F5815"/>
    <w:rsid w:val="000F5EEB"/>
    <w:rsid w:val="00115065"/>
    <w:rsid w:val="00116F0E"/>
    <w:rsid w:val="00124471"/>
    <w:rsid w:val="00124A80"/>
    <w:rsid w:val="00146EF3"/>
    <w:rsid w:val="00151F1D"/>
    <w:rsid w:val="00152788"/>
    <w:rsid w:val="00160240"/>
    <w:rsid w:val="001626EC"/>
    <w:rsid w:val="001874D7"/>
    <w:rsid w:val="001A491F"/>
    <w:rsid w:val="001E01E0"/>
    <w:rsid w:val="0020667F"/>
    <w:rsid w:val="00237256"/>
    <w:rsid w:val="00237802"/>
    <w:rsid w:val="0024446B"/>
    <w:rsid w:val="00246FF2"/>
    <w:rsid w:val="002600CE"/>
    <w:rsid w:val="00265444"/>
    <w:rsid w:val="00291FC6"/>
    <w:rsid w:val="002B5B58"/>
    <w:rsid w:val="002C02A1"/>
    <w:rsid w:val="002D0D06"/>
    <w:rsid w:val="002D2698"/>
    <w:rsid w:val="002F5D48"/>
    <w:rsid w:val="002F72E5"/>
    <w:rsid w:val="003139A5"/>
    <w:rsid w:val="00321C63"/>
    <w:rsid w:val="003233E4"/>
    <w:rsid w:val="0033574D"/>
    <w:rsid w:val="0034071C"/>
    <w:rsid w:val="00343334"/>
    <w:rsid w:val="00343543"/>
    <w:rsid w:val="00354F92"/>
    <w:rsid w:val="00356EF6"/>
    <w:rsid w:val="00395071"/>
    <w:rsid w:val="003A2F3A"/>
    <w:rsid w:val="003A6764"/>
    <w:rsid w:val="003D6A14"/>
    <w:rsid w:val="003E44DB"/>
    <w:rsid w:val="003F46A8"/>
    <w:rsid w:val="00422C9F"/>
    <w:rsid w:val="00455312"/>
    <w:rsid w:val="004601B6"/>
    <w:rsid w:val="004605D9"/>
    <w:rsid w:val="00467005"/>
    <w:rsid w:val="004775BC"/>
    <w:rsid w:val="00484559"/>
    <w:rsid w:val="0049339F"/>
    <w:rsid w:val="00497B8D"/>
    <w:rsid w:val="004A22CB"/>
    <w:rsid w:val="004C4D48"/>
    <w:rsid w:val="004D0E54"/>
    <w:rsid w:val="004D72FE"/>
    <w:rsid w:val="004E22DA"/>
    <w:rsid w:val="004E36B6"/>
    <w:rsid w:val="00500025"/>
    <w:rsid w:val="005028D6"/>
    <w:rsid w:val="00503F14"/>
    <w:rsid w:val="00512749"/>
    <w:rsid w:val="00515598"/>
    <w:rsid w:val="00517121"/>
    <w:rsid w:val="00517178"/>
    <w:rsid w:val="0052419E"/>
    <w:rsid w:val="00534E49"/>
    <w:rsid w:val="00536B43"/>
    <w:rsid w:val="00541970"/>
    <w:rsid w:val="00542B19"/>
    <w:rsid w:val="0054565D"/>
    <w:rsid w:val="00547A15"/>
    <w:rsid w:val="00547A34"/>
    <w:rsid w:val="00581DB1"/>
    <w:rsid w:val="005B43C8"/>
    <w:rsid w:val="005B60A8"/>
    <w:rsid w:val="005C5D79"/>
    <w:rsid w:val="005C65C2"/>
    <w:rsid w:val="00615A78"/>
    <w:rsid w:val="00627D74"/>
    <w:rsid w:val="00633E94"/>
    <w:rsid w:val="0063442A"/>
    <w:rsid w:val="0064577E"/>
    <w:rsid w:val="00652E14"/>
    <w:rsid w:val="00661B0B"/>
    <w:rsid w:val="00666DFF"/>
    <w:rsid w:val="00670907"/>
    <w:rsid w:val="00675F81"/>
    <w:rsid w:val="00677D86"/>
    <w:rsid w:val="00680ACF"/>
    <w:rsid w:val="006849AE"/>
    <w:rsid w:val="0069372C"/>
    <w:rsid w:val="00694C17"/>
    <w:rsid w:val="006964D4"/>
    <w:rsid w:val="006A0057"/>
    <w:rsid w:val="006C7D58"/>
    <w:rsid w:val="006D0350"/>
    <w:rsid w:val="00713B95"/>
    <w:rsid w:val="007175B9"/>
    <w:rsid w:val="00722FA1"/>
    <w:rsid w:val="00735C47"/>
    <w:rsid w:val="00745C3C"/>
    <w:rsid w:val="00760719"/>
    <w:rsid w:val="007659DD"/>
    <w:rsid w:val="007C3CC1"/>
    <w:rsid w:val="007D5DAB"/>
    <w:rsid w:val="007E4137"/>
    <w:rsid w:val="007E4CC8"/>
    <w:rsid w:val="0081163E"/>
    <w:rsid w:val="00830677"/>
    <w:rsid w:val="008368D4"/>
    <w:rsid w:val="00843241"/>
    <w:rsid w:val="008501A5"/>
    <w:rsid w:val="008644F2"/>
    <w:rsid w:val="008779AC"/>
    <w:rsid w:val="00895B07"/>
    <w:rsid w:val="00897B4E"/>
    <w:rsid w:val="008A29E9"/>
    <w:rsid w:val="008B086D"/>
    <w:rsid w:val="008C0D1A"/>
    <w:rsid w:val="008C7550"/>
    <w:rsid w:val="008D4E14"/>
    <w:rsid w:val="008F458B"/>
    <w:rsid w:val="00901A76"/>
    <w:rsid w:val="00931210"/>
    <w:rsid w:val="00934D35"/>
    <w:rsid w:val="009432AF"/>
    <w:rsid w:val="0095074F"/>
    <w:rsid w:val="00956DFE"/>
    <w:rsid w:val="00971FB2"/>
    <w:rsid w:val="00976D72"/>
    <w:rsid w:val="00984832"/>
    <w:rsid w:val="0099776C"/>
    <w:rsid w:val="009A0F83"/>
    <w:rsid w:val="009E3959"/>
    <w:rsid w:val="009F4070"/>
    <w:rsid w:val="00A279D3"/>
    <w:rsid w:val="00A311FF"/>
    <w:rsid w:val="00A31B2F"/>
    <w:rsid w:val="00A5561B"/>
    <w:rsid w:val="00A60A70"/>
    <w:rsid w:val="00A77279"/>
    <w:rsid w:val="00A81BDA"/>
    <w:rsid w:val="00A92D17"/>
    <w:rsid w:val="00A94993"/>
    <w:rsid w:val="00A97C4B"/>
    <w:rsid w:val="00AA49AC"/>
    <w:rsid w:val="00AA6555"/>
    <w:rsid w:val="00AC447A"/>
    <w:rsid w:val="00AC7207"/>
    <w:rsid w:val="00AD0AFE"/>
    <w:rsid w:val="00AF58FC"/>
    <w:rsid w:val="00B2437C"/>
    <w:rsid w:val="00B31BCF"/>
    <w:rsid w:val="00B46C02"/>
    <w:rsid w:val="00B470F5"/>
    <w:rsid w:val="00BC4104"/>
    <w:rsid w:val="00C04647"/>
    <w:rsid w:val="00C13E30"/>
    <w:rsid w:val="00C20D6F"/>
    <w:rsid w:val="00C46EDA"/>
    <w:rsid w:val="00C56013"/>
    <w:rsid w:val="00C720FB"/>
    <w:rsid w:val="00C72167"/>
    <w:rsid w:val="00C83398"/>
    <w:rsid w:val="00C86C2F"/>
    <w:rsid w:val="00C921A8"/>
    <w:rsid w:val="00CC0434"/>
    <w:rsid w:val="00CD6162"/>
    <w:rsid w:val="00CD76BB"/>
    <w:rsid w:val="00CE6ACA"/>
    <w:rsid w:val="00D04250"/>
    <w:rsid w:val="00D159BF"/>
    <w:rsid w:val="00D41892"/>
    <w:rsid w:val="00D50785"/>
    <w:rsid w:val="00D63CE3"/>
    <w:rsid w:val="00D676FA"/>
    <w:rsid w:val="00D913C5"/>
    <w:rsid w:val="00D950B9"/>
    <w:rsid w:val="00DA4EAA"/>
    <w:rsid w:val="00DC63C7"/>
    <w:rsid w:val="00DE7B0B"/>
    <w:rsid w:val="00DF5DB2"/>
    <w:rsid w:val="00E060F6"/>
    <w:rsid w:val="00E14CBC"/>
    <w:rsid w:val="00E21154"/>
    <w:rsid w:val="00E366B8"/>
    <w:rsid w:val="00E458EA"/>
    <w:rsid w:val="00E616AD"/>
    <w:rsid w:val="00E82142"/>
    <w:rsid w:val="00EA44ED"/>
    <w:rsid w:val="00EC07C2"/>
    <w:rsid w:val="00ED7FD9"/>
    <w:rsid w:val="00EE3125"/>
    <w:rsid w:val="00EE37AC"/>
    <w:rsid w:val="00EF7704"/>
    <w:rsid w:val="00F04AE9"/>
    <w:rsid w:val="00F222FB"/>
    <w:rsid w:val="00F2568D"/>
    <w:rsid w:val="00F352B7"/>
    <w:rsid w:val="00F401F5"/>
    <w:rsid w:val="00F51448"/>
    <w:rsid w:val="00F5697F"/>
    <w:rsid w:val="00F7232D"/>
    <w:rsid w:val="00F86B63"/>
    <w:rsid w:val="00F91B9A"/>
    <w:rsid w:val="00FB4E2F"/>
    <w:rsid w:val="00FB4FEB"/>
    <w:rsid w:val="00FB7CF3"/>
    <w:rsid w:val="00FC447C"/>
    <w:rsid w:val="00FD0990"/>
    <w:rsid w:val="00FD76F7"/>
    <w:rsid w:val="00FE0511"/>
    <w:rsid w:val="260E9411"/>
    <w:rsid w:val="515B6C06"/>
    <w:rsid w:val="648B6222"/>
    <w:rsid w:val="66908785"/>
    <w:rsid w:val="6E1EF88A"/>
    <w:rsid w:val="7A430C3A"/>
    <w:rsid w:val="7E8D6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4E849"/>
  <w15:chartTrackingRefBased/>
  <w15:docId w15:val="{4547F635-D801-AE4B-917C-48CAB2E2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emic">
    <w:name w:val="Academic"/>
    <w:basedOn w:val="Normal"/>
    <w:qFormat/>
    <w:rsid w:val="00661B0B"/>
    <w:pPr>
      <w:spacing w:line="360" w:lineRule="auto"/>
    </w:pPr>
    <w:rPr>
      <w:rFonts w:ascii="Times New Roman" w:hAnsi="Times New Roman"/>
    </w:rPr>
  </w:style>
  <w:style w:type="character" w:customStyle="1" w:styleId="Heading1Char">
    <w:name w:val="Heading 1 Char"/>
    <w:basedOn w:val="DefaultParagraphFont"/>
    <w:link w:val="Heading1"/>
    <w:uiPriority w:val="9"/>
    <w:rsid w:val="009F4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070"/>
    <w:rPr>
      <w:rFonts w:eastAsiaTheme="majorEastAsia" w:cstheme="majorBidi"/>
      <w:color w:val="272727" w:themeColor="text1" w:themeTint="D8"/>
    </w:rPr>
  </w:style>
  <w:style w:type="paragraph" w:styleId="Title">
    <w:name w:val="Title"/>
    <w:basedOn w:val="Normal"/>
    <w:next w:val="Normal"/>
    <w:link w:val="TitleChar"/>
    <w:uiPriority w:val="10"/>
    <w:qFormat/>
    <w:rsid w:val="009F4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070"/>
    <w:pPr>
      <w:spacing w:before="160"/>
      <w:jc w:val="center"/>
    </w:pPr>
    <w:rPr>
      <w:i/>
      <w:iCs/>
      <w:color w:val="404040" w:themeColor="text1" w:themeTint="BF"/>
    </w:rPr>
  </w:style>
  <w:style w:type="character" w:customStyle="1" w:styleId="QuoteChar">
    <w:name w:val="Quote Char"/>
    <w:basedOn w:val="DefaultParagraphFont"/>
    <w:link w:val="Quote"/>
    <w:uiPriority w:val="29"/>
    <w:rsid w:val="009F4070"/>
    <w:rPr>
      <w:i/>
      <w:iCs/>
      <w:color w:val="404040" w:themeColor="text1" w:themeTint="BF"/>
    </w:rPr>
  </w:style>
  <w:style w:type="paragraph" w:styleId="ListParagraph">
    <w:name w:val="List Paragraph"/>
    <w:basedOn w:val="Normal"/>
    <w:uiPriority w:val="34"/>
    <w:qFormat/>
    <w:rsid w:val="009F4070"/>
    <w:pPr>
      <w:ind w:left="720"/>
      <w:contextualSpacing/>
    </w:pPr>
  </w:style>
  <w:style w:type="character" w:styleId="IntenseEmphasis">
    <w:name w:val="Intense Emphasis"/>
    <w:basedOn w:val="DefaultParagraphFont"/>
    <w:uiPriority w:val="21"/>
    <w:qFormat/>
    <w:rsid w:val="009F4070"/>
    <w:rPr>
      <w:i/>
      <w:iCs/>
      <w:color w:val="0F4761" w:themeColor="accent1" w:themeShade="BF"/>
    </w:rPr>
  </w:style>
  <w:style w:type="paragraph" w:styleId="IntenseQuote">
    <w:name w:val="Intense Quote"/>
    <w:basedOn w:val="Normal"/>
    <w:next w:val="Normal"/>
    <w:link w:val="IntenseQuoteChar"/>
    <w:uiPriority w:val="30"/>
    <w:qFormat/>
    <w:rsid w:val="009F4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070"/>
    <w:rPr>
      <w:i/>
      <w:iCs/>
      <w:color w:val="0F4761" w:themeColor="accent1" w:themeShade="BF"/>
    </w:rPr>
  </w:style>
  <w:style w:type="character" w:styleId="IntenseReference">
    <w:name w:val="Intense Reference"/>
    <w:basedOn w:val="DefaultParagraphFont"/>
    <w:uiPriority w:val="32"/>
    <w:qFormat/>
    <w:rsid w:val="009F4070"/>
    <w:rPr>
      <w:b/>
      <w:bCs/>
      <w:smallCaps/>
      <w:color w:val="0F4761" w:themeColor="accent1" w:themeShade="BF"/>
      <w:spacing w:val="5"/>
    </w:rPr>
  </w:style>
  <w:style w:type="character" w:styleId="Emphasis">
    <w:name w:val="Emphasis"/>
    <w:basedOn w:val="DefaultParagraphFont"/>
    <w:uiPriority w:val="20"/>
    <w:qFormat/>
    <w:rsid w:val="006964D4"/>
    <w:rPr>
      <w:i/>
      <w:iCs/>
    </w:rPr>
  </w:style>
  <w:style w:type="paragraph" w:styleId="NormalWeb">
    <w:name w:val="Normal (Web)"/>
    <w:basedOn w:val="Normal"/>
    <w:uiPriority w:val="99"/>
    <w:semiHidden/>
    <w:unhideWhenUsed/>
    <w:rsid w:val="006964D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15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5A78"/>
    <w:rPr>
      <w:sz w:val="20"/>
      <w:szCs w:val="20"/>
    </w:rPr>
  </w:style>
  <w:style w:type="character" w:styleId="FootnoteReference">
    <w:name w:val="footnote reference"/>
    <w:basedOn w:val="DefaultParagraphFont"/>
    <w:uiPriority w:val="99"/>
    <w:semiHidden/>
    <w:unhideWhenUsed/>
    <w:rsid w:val="00615A78"/>
    <w:rPr>
      <w:vertAlign w:val="superscript"/>
    </w:rPr>
  </w:style>
  <w:style w:type="character" w:styleId="Hyperlink">
    <w:name w:val="Hyperlink"/>
    <w:basedOn w:val="DefaultParagraphFont"/>
    <w:uiPriority w:val="99"/>
    <w:unhideWhenUsed/>
    <w:rsid w:val="66908785"/>
    <w:rPr>
      <w:color w:val="467886"/>
      <w:u w:val="single"/>
    </w:rPr>
  </w:style>
  <w:style w:type="character" w:styleId="UnresolvedMention">
    <w:name w:val="Unresolved Mention"/>
    <w:basedOn w:val="DefaultParagraphFont"/>
    <w:uiPriority w:val="99"/>
    <w:semiHidden/>
    <w:unhideWhenUsed/>
    <w:rsid w:val="00512749"/>
    <w:rPr>
      <w:color w:val="605E5C"/>
      <w:shd w:val="clear" w:color="auto" w:fill="E1DFDD"/>
    </w:rPr>
  </w:style>
  <w:style w:type="paragraph" w:styleId="Header">
    <w:name w:val="header"/>
    <w:basedOn w:val="Normal"/>
    <w:link w:val="HeaderChar"/>
    <w:uiPriority w:val="99"/>
    <w:unhideWhenUsed/>
    <w:rsid w:val="00FB7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CF3"/>
  </w:style>
  <w:style w:type="paragraph" w:styleId="Footer">
    <w:name w:val="footer"/>
    <w:basedOn w:val="Normal"/>
    <w:link w:val="FooterChar"/>
    <w:uiPriority w:val="99"/>
    <w:unhideWhenUsed/>
    <w:rsid w:val="00FB7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sacha.mouzin@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27E6-DAE1-514B-BE0F-2260A98D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7066</Characters>
  <Application>Microsoft Office Word</Application>
  <DocSecurity>0</DocSecurity>
  <Lines>126</Lines>
  <Paragraphs>24</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Mouzin</dc:creator>
  <cp:keywords/>
  <dc:description/>
  <cp:lastModifiedBy>Chihab El Khachab</cp:lastModifiedBy>
  <cp:revision>11</cp:revision>
  <dcterms:created xsi:type="dcterms:W3CDTF">2025-12-15T17:07:00Z</dcterms:created>
  <dcterms:modified xsi:type="dcterms:W3CDTF">2026-01-09T16:39:00Z</dcterms:modified>
</cp:coreProperties>
</file>