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60BCC2" w14:textId="77777777" w:rsidR="00745A4B" w:rsidRPr="00352615" w:rsidRDefault="00745A4B" w:rsidP="00745A4B">
      <w:pPr>
        <w:jc w:val="center"/>
        <w:rPr>
          <w:rFonts w:ascii="Gill Sans MT" w:eastAsia="Calibri" w:hAnsi="Gill Sans MT" w:cs="Arial"/>
        </w:rPr>
      </w:pPr>
      <w:r w:rsidRPr="00352615">
        <w:rPr>
          <w:rFonts w:ascii="Gill Sans MT" w:eastAsia="Calibri" w:hAnsi="Gill Sans MT" w:cs="Arial"/>
          <w:noProof/>
          <w:lang w:val="en-US"/>
        </w:rPr>
        <w:drawing>
          <wp:inline distT="0" distB="0" distL="0" distR="0" wp14:anchorId="5DB78B2C" wp14:editId="090CD481">
            <wp:extent cx="3863211" cy="896264"/>
            <wp:effectExtent l="19050" t="19050" r="23495" b="18415"/>
            <wp:docPr id="587049542" name="Picture 58704954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71688" cy="898231"/>
                    </a:xfrm>
                    <a:prstGeom prst="rect">
                      <a:avLst/>
                    </a:prstGeom>
                    <a:noFill/>
                    <a:ln>
                      <a:solidFill>
                        <a:srgbClr val="4472C4">
                          <a:lumMod val="75000"/>
                        </a:srgbClr>
                      </a:solidFill>
                    </a:ln>
                  </pic:spPr>
                </pic:pic>
              </a:graphicData>
            </a:graphic>
          </wp:inline>
        </w:drawing>
      </w:r>
      <w:r w:rsidRPr="00352615">
        <w:rPr>
          <w:rFonts w:ascii="Gill Sans MT" w:eastAsia="Calibri" w:hAnsi="Gill Sans MT" w:cs="Arial"/>
        </w:rPr>
        <w:br/>
      </w:r>
    </w:p>
    <w:p w14:paraId="4836145A" w14:textId="77777777" w:rsidR="00745A4B" w:rsidRPr="00352615" w:rsidRDefault="00745A4B" w:rsidP="00745A4B">
      <w:pPr>
        <w:jc w:val="center"/>
        <w:rPr>
          <w:rFonts w:ascii="Gill Sans MT" w:eastAsia="Calibri" w:hAnsi="Gill Sans MT" w:cs="Arial"/>
        </w:rPr>
      </w:pPr>
    </w:p>
    <w:p w14:paraId="4E81F513" w14:textId="0BCCF353" w:rsidR="00411082" w:rsidRPr="00352615" w:rsidRDefault="00716B02" w:rsidP="00745A4B">
      <w:pPr>
        <w:jc w:val="both"/>
        <w:rPr>
          <w:rFonts w:ascii="Gill Sans MT" w:eastAsia="Gill Sans" w:hAnsi="Gill Sans MT" w:cs="Gill Sans"/>
          <w:sz w:val="28"/>
          <w:szCs w:val="28"/>
        </w:rPr>
      </w:pPr>
      <w:r w:rsidRPr="00352615">
        <w:rPr>
          <w:rFonts w:ascii="Gill Sans MT" w:eastAsia="Gill Sans" w:hAnsi="Gill Sans MT" w:cs="Gill Sans"/>
          <w:b/>
          <w:sz w:val="28"/>
          <w:szCs w:val="28"/>
        </w:rPr>
        <w:t>NATHANAEL J. HOMEWOOD</w:t>
      </w:r>
      <w:r w:rsidRPr="00352615">
        <w:rPr>
          <w:rFonts w:ascii="Gill Sans MT" w:eastAsia="Gill Sans" w:hAnsi="Gill Sans MT" w:cs="Gill Sans"/>
          <w:sz w:val="28"/>
          <w:szCs w:val="28"/>
        </w:rPr>
        <w:t xml:space="preserve">. </w:t>
      </w:r>
      <w:r w:rsidRPr="00352615">
        <w:rPr>
          <w:rFonts w:ascii="Gill Sans MT" w:eastAsia="Gill Sans" w:hAnsi="Gill Sans MT" w:cs="Gill Sans"/>
          <w:i/>
          <w:sz w:val="28"/>
          <w:szCs w:val="28"/>
        </w:rPr>
        <w:t>SEDUCTIVE SPIRITS: DELIVERANCE, DEMONS, AND SEXUAL WORLDMAKING IN GHANAIAN PENTECOSTALISM</w:t>
      </w:r>
      <w:r w:rsidRPr="00352615">
        <w:rPr>
          <w:rFonts w:ascii="Gill Sans MT" w:eastAsia="Gill Sans" w:hAnsi="Gill Sans MT" w:cs="Gill Sans"/>
          <w:sz w:val="28"/>
          <w:szCs w:val="28"/>
        </w:rPr>
        <w:t>. STANFORD</w:t>
      </w:r>
      <w:r w:rsidR="00352615">
        <w:rPr>
          <w:rFonts w:ascii="Gill Sans MT" w:eastAsia="Gill Sans" w:hAnsi="Gill Sans MT" w:cs="Gill Sans"/>
          <w:sz w:val="28"/>
          <w:szCs w:val="28"/>
        </w:rPr>
        <w:t>: STANFORD</w:t>
      </w:r>
      <w:r w:rsidRPr="00352615">
        <w:rPr>
          <w:rFonts w:ascii="Gill Sans MT" w:eastAsia="Gill Sans" w:hAnsi="Gill Sans MT" w:cs="Gill Sans"/>
          <w:sz w:val="28"/>
          <w:szCs w:val="28"/>
        </w:rPr>
        <w:t xml:space="preserve"> UNIVERSITY PRESS 2024.</w:t>
      </w:r>
      <w:r w:rsidR="00044DAC" w:rsidRPr="00352615">
        <w:rPr>
          <w:rFonts w:ascii="Gill Sans MT" w:eastAsia="Gill Sans" w:hAnsi="Gill Sans MT" w:cs="Gill Sans"/>
          <w:sz w:val="28"/>
          <w:szCs w:val="28"/>
        </w:rPr>
        <w:t xml:space="preserve"> 292 P.</w:t>
      </w:r>
      <w:r w:rsidRPr="00352615">
        <w:rPr>
          <w:rFonts w:ascii="Gill Sans MT" w:eastAsia="Gill Sans" w:hAnsi="Gill Sans MT" w:cs="Gill Sans"/>
          <w:sz w:val="28"/>
          <w:szCs w:val="28"/>
        </w:rPr>
        <w:t xml:space="preserve"> ISBN: 9781503638068</w:t>
      </w:r>
    </w:p>
    <w:p w14:paraId="6A05A809" w14:textId="77777777" w:rsidR="00411082" w:rsidRPr="00352615" w:rsidRDefault="00411082" w:rsidP="00352615">
      <w:pPr>
        <w:rPr>
          <w:rFonts w:ascii="Gill Sans MT" w:eastAsia="Gill Sans" w:hAnsi="Gill Sans MT" w:cs="Gill Sans"/>
        </w:rPr>
      </w:pPr>
    </w:p>
    <w:p w14:paraId="560D8827" w14:textId="77777777" w:rsidR="00411082" w:rsidRPr="00352615" w:rsidRDefault="00716B02">
      <w:pPr>
        <w:jc w:val="center"/>
        <w:rPr>
          <w:rFonts w:ascii="Gill Sans MT" w:eastAsia="Gill Sans" w:hAnsi="Gill Sans MT" w:cs="Gill Sans"/>
          <w:sz w:val="28"/>
          <w:szCs w:val="28"/>
        </w:rPr>
      </w:pPr>
      <w:r w:rsidRPr="00352615">
        <w:rPr>
          <w:rFonts w:ascii="Gill Sans MT" w:eastAsia="Gill Sans" w:hAnsi="Gill Sans MT" w:cs="Gill Sans"/>
          <w:sz w:val="28"/>
          <w:szCs w:val="28"/>
        </w:rPr>
        <w:t>YOMI CHIBUIKEM FOLARANMI</w:t>
      </w:r>
      <w:r w:rsidRPr="00352615">
        <w:rPr>
          <w:rFonts w:ascii="Gill Sans MT" w:eastAsia="Gill Sans" w:hAnsi="Gill Sans MT" w:cs="Gill Sans"/>
          <w:sz w:val="28"/>
          <w:szCs w:val="28"/>
          <w:vertAlign w:val="superscript"/>
        </w:rPr>
        <w:footnoteReference w:id="1"/>
      </w:r>
    </w:p>
    <w:p w14:paraId="5A39BBE3" w14:textId="6362D4E8" w:rsidR="00411082" w:rsidRPr="00352615" w:rsidRDefault="00745A4B" w:rsidP="00745A4B">
      <w:pPr>
        <w:jc w:val="center"/>
        <w:rPr>
          <w:rFonts w:ascii="Gill Sans MT" w:eastAsia="Gill Sans" w:hAnsi="Gill Sans MT" w:cs="Gill Sans"/>
        </w:rPr>
      </w:pPr>
      <w:r w:rsidRPr="00352615">
        <w:rPr>
          <w:rFonts w:ascii="Gill Sans MT" w:eastAsia="Gill Sans" w:hAnsi="Gill Sans MT" w:cs="Gill Sans"/>
        </w:rPr>
        <w:br/>
      </w:r>
    </w:p>
    <w:p w14:paraId="3F857AAC" w14:textId="37BBFD10" w:rsidR="00411082" w:rsidRPr="00352615" w:rsidRDefault="00716B02" w:rsidP="00745A4B">
      <w:pPr>
        <w:spacing w:after="180"/>
        <w:contextualSpacing/>
        <w:jc w:val="both"/>
        <w:rPr>
          <w:rFonts w:ascii="Gill Sans MT" w:eastAsia="Gill Sans" w:hAnsi="Gill Sans MT" w:cs="Gill Sans"/>
        </w:rPr>
      </w:pPr>
      <w:r w:rsidRPr="00352615">
        <w:rPr>
          <w:rFonts w:ascii="Gill Sans MT" w:eastAsia="Gill Sans" w:hAnsi="Gill Sans MT" w:cs="Gill Sans"/>
          <w:i/>
          <w:iCs/>
        </w:rPr>
        <w:t xml:space="preserve">Seductive </w:t>
      </w:r>
      <w:r w:rsidR="00215FD0">
        <w:rPr>
          <w:rFonts w:ascii="Gill Sans MT" w:eastAsia="Gill Sans" w:hAnsi="Gill Sans MT" w:cs="Gill Sans"/>
          <w:i/>
          <w:iCs/>
        </w:rPr>
        <w:t>s</w:t>
      </w:r>
      <w:r w:rsidRPr="00352615">
        <w:rPr>
          <w:rFonts w:ascii="Gill Sans MT" w:eastAsia="Gill Sans" w:hAnsi="Gill Sans MT" w:cs="Gill Sans"/>
          <w:i/>
          <w:iCs/>
        </w:rPr>
        <w:t xml:space="preserve">pirits </w:t>
      </w:r>
      <w:r w:rsidRPr="00352615">
        <w:rPr>
          <w:rFonts w:ascii="Gill Sans MT" w:eastAsia="Gill Sans" w:hAnsi="Gill Sans MT" w:cs="Gill Sans"/>
        </w:rPr>
        <w:t xml:space="preserve">is the result of fieldwork Nathanael J. Homewood carried out between 2015 and 2016 in Ghanaian Pentecostal congregations in the greater Accra area. His work aims to investigate the imaginaries these congregations construct around sex with demons. It is a detailed exploration of what Homewood terms the </w:t>
      </w:r>
      <w:proofErr w:type="spellStart"/>
      <w:r w:rsidRPr="00352615">
        <w:rPr>
          <w:rFonts w:ascii="Gill Sans MT" w:eastAsia="Gill Sans" w:hAnsi="Gill Sans MT" w:cs="Gill Sans"/>
          <w:i/>
          <w:iCs/>
        </w:rPr>
        <w:t>pneumoerotic</w:t>
      </w:r>
      <w:proofErr w:type="spellEnd"/>
      <w:r w:rsidRPr="00352615">
        <w:rPr>
          <w:rFonts w:ascii="Gill Sans MT" w:eastAsia="Gill Sans" w:hAnsi="Gill Sans MT" w:cs="Gill Sans"/>
          <w:i/>
          <w:iCs/>
        </w:rPr>
        <w:t>, ‘</w:t>
      </w:r>
      <w:r w:rsidRPr="00352615">
        <w:rPr>
          <w:rFonts w:ascii="Gill Sans MT" w:eastAsia="Gill Sans" w:hAnsi="Gill Sans MT" w:cs="Gill Sans"/>
        </w:rPr>
        <w:t>sexual relationships between bodies and spirits’ (69)</w:t>
      </w:r>
      <w:r w:rsidRPr="00352615">
        <w:rPr>
          <w:rFonts w:ascii="Gill Sans MT" w:eastAsia="Gill Sans" w:hAnsi="Gill Sans MT" w:cs="Gill Sans"/>
          <w:i/>
          <w:iCs/>
        </w:rPr>
        <w:t xml:space="preserve">, </w:t>
      </w:r>
      <w:r w:rsidRPr="00352615">
        <w:rPr>
          <w:rFonts w:ascii="Gill Sans MT" w:eastAsia="Gill Sans" w:hAnsi="Gill Sans MT" w:cs="Gill Sans"/>
        </w:rPr>
        <w:t xml:space="preserve">and its radically transgressive implications for how, even outside the immediate research context, we may begin to think through the binaries and boundaries and modernity and coloniality, and past the limitations of our five senses as we normally understand them. </w:t>
      </w:r>
    </w:p>
    <w:p w14:paraId="6943B865" w14:textId="43A10ED0" w:rsidR="00716B02" w:rsidRPr="00352615" w:rsidRDefault="00716B02" w:rsidP="00745A4B">
      <w:pPr>
        <w:spacing w:after="180"/>
        <w:ind w:firstLine="720"/>
        <w:contextualSpacing/>
        <w:jc w:val="both"/>
        <w:rPr>
          <w:rFonts w:ascii="Gill Sans MT" w:eastAsia="Gill Sans" w:hAnsi="Gill Sans MT" w:cs="Gill Sans"/>
        </w:rPr>
      </w:pPr>
      <w:r w:rsidRPr="00352615">
        <w:rPr>
          <w:rFonts w:ascii="Gill Sans MT" w:eastAsia="Gill Sans" w:hAnsi="Gill Sans MT" w:cs="Gill Sans"/>
        </w:rPr>
        <w:t xml:space="preserve">After giving context for Ghanaian Pentecostalism—its historical development, influence from local cosmologies, and entanglements with Western evangelical influence—Homewood situates contemporary attitudes towards spirits and sexuality within a broader cultural matrix. He illustrates how beliefs about sex with demons are not simply theological abstractions but are shaped by and reflected in popular Ghanaian films and published testimonies. These media forms, saturated with </w:t>
      </w:r>
      <w:proofErr w:type="spellStart"/>
      <w:r w:rsidRPr="00352615">
        <w:rPr>
          <w:rFonts w:ascii="Gill Sans MT" w:eastAsia="Gill Sans" w:hAnsi="Gill Sans MT" w:cs="Gill Sans"/>
        </w:rPr>
        <w:t>dramatised</w:t>
      </w:r>
      <w:proofErr w:type="spellEnd"/>
      <w:r w:rsidRPr="00352615">
        <w:rPr>
          <w:rFonts w:ascii="Gill Sans MT" w:eastAsia="Gill Sans" w:hAnsi="Gill Sans MT" w:cs="Gill Sans"/>
        </w:rPr>
        <w:t xml:space="preserve"> scenes of demonic seduction and possession, reinforce and circulate spiritual anxieties, especially around sexuality, gender, and bodily boundaries. Demonology, in this context, is not confined to the pulpit; it is a popular vernacular of moral and metaphysical crises. </w:t>
      </w:r>
    </w:p>
    <w:p w14:paraId="35E0B47A" w14:textId="42B9C943" w:rsidR="00716B02" w:rsidRPr="00352615" w:rsidRDefault="00716B02" w:rsidP="00745A4B">
      <w:pPr>
        <w:spacing w:after="180"/>
        <w:ind w:firstLine="720"/>
        <w:contextualSpacing/>
        <w:jc w:val="both"/>
        <w:rPr>
          <w:rFonts w:ascii="Gill Sans MT" w:eastAsia="Gill Sans" w:hAnsi="Gill Sans MT" w:cs="Gill Sans"/>
        </w:rPr>
      </w:pPr>
      <w:r w:rsidRPr="00352615">
        <w:rPr>
          <w:rFonts w:ascii="Gill Sans MT" w:eastAsia="Gill Sans" w:hAnsi="Gill Sans MT" w:cs="Gill Sans"/>
        </w:rPr>
        <w:t xml:space="preserve">With this densely layered background established, </w:t>
      </w:r>
      <w:r w:rsidRPr="00352615">
        <w:rPr>
          <w:rFonts w:ascii="Gill Sans MT" w:eastAsia="Gill Sans" w:hAnsi="Gill Sans MT" w:cs="Gill Sans"/>
          <w:i/>
          <w:iCs/>
        </w:rPr>
        <w:t xml:space="preserve">Seductive </w:t>
      </w:r>
      <w:r w:rsidR="00344967">
        <w:rPr>
          <w:rFonts w:ascii="Gill Sans MT" w:eastAsia="Gill Sans" w:hAnsi="Gill Sans MT" w:cs="Gill Sans"/>
          <w:i/>
          <w:iCs/>
        </w:rPr>
        <w:t>s</w:t>
      </w:r>
      <w:r w:rsidRPr="00352615">
        <w:rPr>
          <w:rFonts w:ascii="Gill Sans MT" w:eastAsia="Gill Sans" w:hAnsi="Gill Sans MT" w:cs="Gill Sans"/>
          <w:i/>
          <w:iCs/>
        </w:rPr>
        <w:t>pirits</w:t>
      </w:r>
      <w:r w:rsidRPr="00352615">
        <w:rPr>
          <w:rFonts w:ascii="Gill Sans MT" w:eastAsia="Gill Sans" w:hAnsi="Gill Sans MT" w:cs="Gill Sans"/>
        </w:rPr>
        <w:t xml:space="preserve"> unfolds across six thematically organised chapters that trace the permutations of sex with demons as a spiritual and phenomenological experience. Focussing on various kinds of deliverance ‘scenes’, Homewood explores among other things how spirits seduce or violate humans through masturbation, how spiritual marriages blur the line between dream and waking life, and how demonic agents infiltrate the body’s orifices—sometimes transmitted through intimate contact, sonically, and through unwitting contracts made with the demonic. Chapter </w:t>
      </w:r>
      <w:r w:rsidR="00344967">
        <w:rPr>
          <w:rFonts w:ascii="Gill Sans MT" w:eastAsia="Gill Sans" w:hAnsi="Gill Sans MT" w:cs="Gill Sans"/>
        </w:rPr>
        <w:t>s</w:t>
      </w:r>
      <w:r w:rsidRPr="00352615">
        <w:rPr>
          <w:rFonts w:ascii="Gill Sans MT" w:eastAsia="Gill Sans" w:hAnsi="Gill Sans MT" w:cs="Gill Sans"/>
        </w:rPr>
        <w:t xml:space="preserve">ix, ‘Serpentine </w:t>
      </w:r>
      <w:r w:rsidR="00344967">
        <w:rPr>
          <w:rFonts w:ascii="Gill Sans MT" w:eastAsia="Gill Sans" w:hAnsi="Gill Sans MT" w:cs="Gill Sans"/>
        </w:rPr>
        <w:t>s</w:t>
      </w:r>
      <w:r w:rsidRPr="00352615">
        <w:rPr>
          <w:rFonts w:ascii="Gill Sans MT" w:eastAsia="Gill Sans" w:hAnsi="Gill Sans MT" w:cs="Gill Sans"/>
        </w:rPr>
        <w:t>cenes’, dwells on the idea of metamorphosis into animals, on the parts of the demons, the possessed, as well as some of the prophets, a recurring motif in Pentecostal deliverance that indexes anxieties about animality, desire, and human sovereignty.</w:t>
      </w:r>
    </w:p>
    <w:p w14:paraId="6EBC7E88" w14:textId="1FC578FE" w:rsidR="00716B02" w:rsidRPr="00352615" w:rsidRDefault="00716B02" w:rsidP="00745A4B">
      <w:pPr>
        <w:spacing w:after="180"/>
        <w:ind w:firstLine="720"/>
        <w:contextualSpacing/>
        <w:jc w:val="both"/>
        <w:rPr>
          <w:rFonts w:ascii="Gill Sans MT" w:eastAsia="Gill Sans" w:hAnsi="Gill Sans MT" w:cs="Gill Sans"/>
        </w:rPr>
      </w:pPr>
      <w:r w:rsidRPr="00352615">
        <w:rPr>
          <w:rFonts w:ascii="Gill Sans MT" w:eastAsia="Gill Sans" w:hAnsi="Gill Sans MT" w:cs="Gill Sans"/>
        </w:rPr>
        <w:t xml:space="preserve">The response to demons in Pentecostal churches is to exorcise them. The process of exorcism in these circumstances centres on the pastor calling attention to the demon, naming them and describing their characteristics, as well as enumerating in lurid detail, or inducing the possessed to enumerate the kind of sex acts that they engender. In the explicit </w:t>
      </w:r>
      <w:r w:rsidRPr="00352615">
        <w:rPr>
          <w:rFonts w:ascii="Gill Sans MT" w:eastAsia="Gill Sans" w:hAnsi="Gill Sans MT" w:cs="Gill Sans"/>
        </w:rPr>
        <w:lastRenderedPageBreak/>
        <w:t>descriptions of sex with demons, and in the deliverance of people from these kinds of demons, there is a blurring of the boundaries between the private and the public, the earthly and the spiritual, the material and the imaginary. But Homewood argues that the docility</w:t>
      </w:r>
      <w:r w:rsidR="00745A4B" w:rsidRPr="00352615">
        <w:rPr>
          <w:rFonts w:ascii="Gill Sans MT" w:eastAsia="Gill Sans" w:hAnsi="Gill Sans MT" w:cs="Gill Sans"/>
        </w:rPr>
        <w:t xml:space="preserve"> that</w:t>
      </w:r>
      <w:r w:rsidRPr="00352615">
        <w:rPr>
          <w:rFonts w:ascii="Gill Sans MT" w:eastAsia="Gill Sans" w:hAnsi="Gill Sans MT" w:cs="Gill Sans"/>
        </w:rPr>
        <w:t xml:space="preserve"> follows exorcism is not </w:t>
      </w:r>
      <w:r w:rsidRPr="00352615">
        <w:rPr>
          <w:rFonts w:ascii="Gill Sans MT" w:eastAsia="Gill Sans" w:hAnsi="Gill Sans MT" w:cs="Gill Sans"/>
          <w:i/>
          <w:iCs/>
        </w:rPr>
        <w:t>really</w:t>
      </w:r>
      <w:r w:rsidRPr="00352615">
        <w:rPr>
          <w:rFonts w:ascii="Gill Sans MT" w:eastAsia="Gill Sans" w:hAnsi="Gill Sans MT" w:cs="Gill Sans"/>
        </w:rPr>
        <w:t xml:space="preserve"> the point; the docile body is usually swiftly moved on from and attention given to another site of activity or resistance. The point would seem rather to be the voyeuristic detailing and acting out of demonic sex, the often violent intervention of the pastor which come</w:t>
      </w:r>
      <w:r w:rsidR="00C946BB">
        <w:rPr>
          <w:rFonts w:ascii="Gill Sans MT" w:eastAsia="Gill Sans" w:hAnsi="Gill Sans MT" w:cs="Gill Sans"/>
        </w:rPr>
        <w:t>s</w:t>
      </w:r>
      <w:r w:rsidRPr="00352615">
        <w:rPr>
          <w:rFonts w:ascii="Gill Sans MT" w:eastAsia="Gill Sans" w:hAnsi="Gill Sans MT" w:cs="Gill Sans"/>
        </w:rPr>
        <w:t xml:space="preserve"> about from </w:t>
      </w:r>
      <w:r w:rsidR="00745A4B" w:rsidRPr="00352615">
        <w:rPr>
          <w:rFonts w:ascii="Gill Sans MT" w:eastAsia="Gill Sans" w:hAnsi="Gill Sans MT" w:cs="Gill Sans"/>
        </w:rPr>
        <w:t>‘</w:t>
      </w:r>
      <w:r w:rsidRPr="00352615">
        <w:rPr>
          <w:rFonts w:ascii="Gill Sans MT" w:eastAsia="Gill Sans" w:hAnsi="Gill Sans MT" w:cs="Gill Sans"/>
        </w:rPr>
        <w:t>tarrying</w:t>
      </w:r>
      <w:r w:rsidR="00745A4B" w:rsidRPr="00352615">
        <w:rPr>
          <w:rFonts w:ascii="Gill Sans MT" w:eastAsia="Gill Sans" w:hAnsi="Gill Sans MT" w:cs="Gill Sans"/>
        </w:rPr>
        <w:t>’</w:t>
      </w:r>
      <w:r w:rsidRPr="00352615">
        <w:rPr>
          <w:rFonts w:ascii="Gill Sans MT" w:eastAsia="Gill Sans" w:hAnsi="Gill Sans MT" w:cs="Gill Sans"/>
        </w:rPr>
        <w:t xml:space="preserve"> on the subject (91). </w:t>
      </w:r>
    </w:p>
    <w:p w14:paraId="3D56ECC5" w14:textId="2D5CCE43" w:rsidR="00716B02" w:rsidRPr="00352615" w:rsidRDefault="00716B02" w:rsidP="00745A4B">
      <w:pPr>
        <w:spacing w:after="180"/>
        <w:ind w:firstLine="720"/>
        <w:contextualSpacing/>
        <w:jc w:val="both"/>
        <w:rPr>
          <w:rFonts w:ascii="Gill Sans MT" w:eastAsia="Gill Sans" w:hAnsi="Gill Sans MT" w:cs="Gill Sans"/>
        </w:rPr>
      </w:pPr>
      <w:r w:rsidRPr="00352615">
        <w:rPr>
          <w:rFonts w:ascii="Gill Sans MT" w:eastAsia="Gill Sans" w:hAnsi="Gill Sans MT" w:cs="Gill Sans"/>
        </w:rPr>
        <w:t xml:space="preserve">Homewood cannot always perceive what his research subjects seem to be experiencing. As a self-reflexive outsider, he does not possess what he calls </w:t>
      </w:r>
      <w:r w:rsidR="006C608F">
        <w:rPr>
          <w:rFonts w:ascii="Gill Sans MT" w:eastAsia="Gill Sans" w:hAnsi="Gill Sans MT" w:cs="Gill Sans"/>
        </w:rPr>
        <w:t>‘</w:t>
      </w:r>
      <w:proofErr w:type="spellStart"/>
      <w:r w:rsidRPr="00352615">
        <w:rPr>
          <w:rFonts w:ascii="Gill Sans MT" w:eastAsia="Gill Sans" w:hAnsi="Gill Sans MT" w:cs="Gill Sans"/>
          <w:i/>
          <w:iCs/>
        </w:rPr>
        <w:t>demonologeyes</w:t>
      </w:r>
      <w:proofErr w:type="spellEnd"/>
      <w:r w:rsidR="006C608F">
        <w:rPr>
          <w:rFonts w:ascii="Gill Sans MT" w:eastAsia="Gill Sans" w:hAnsi="Gill Sans MT" w:cs="Gill Sans"/>
        </w:rPr>
        <w:t>’</w:t>
      </w:r>
      <w:r w:rsidRPr="00352615">
        <w:rPr>
          <w:rFonts w:ascii="Gill Sans MT" w:eastAsia="Gill Sans" w:hAnsi="Gill Sans MT" w:cs="Gill Sans"/>
        </w:rPr>
        <w:t xml:space="preserve">—an evocative if somewhat clunky coinage he leans upon to try to imagine what the prophets and congregants may be perceiving when they encounter demons in their various manifestations. </w:t>
      </w:r>
      <w:proofErr w:type="spellStart"/>
      <w:r w:rsidRPr="00352615">
        <w:rPr>
          <w:rFonts w:ascii="Gill Sans MT" w:eastAsia="Gill Sans" w:hAnsi="Gill Sans MT" w:cs="Gill Sans"/>
          <w:i/>
          <w:iCs/>
        </w:rPr>
        <w:t>Demonologeyes</w:t>
      </w:r>
      <w:proofErr w:type="spellEnd"/>
      <w:r w:rsidRPr="00352615">
        <w:rPr>
          <w:rFonts w:ascii="Gill Sans MT" w:eastAsia="Gill Sans" w:hAnsi="Gill Sans MT" w:cs="Gill Sans"/>
        </w:rPr>
        <w:t xml:space="preserve"> describes the unique </w:t>
      </w:r>
      <w:r w:rsidR="00745A4B" w:rsidRPr="00352615">
        <w:rPr>
          <w:rFonts w:ascii="Gill Sans MT" w:eastAsia="Gill Sans" w:hAnsi="Gill Sans MT" w:cs="Gill Sans"/>
        </w:rPr>
        <w:t>‘</w:t>
      </w:r>
      <w:r w:rsidRPr="00352615">
        <w:rPr>
          <w:rFonts w:ascii="Gill Sans MT" w:eastAsia="Gill Sans" w:hAnsi="Gill Sans MT" w:cs="Gill Sans"/>
        </w:rPr>
        <w:t>haptic visionary sense at the very core of deliverance</w:t>
      </w:r>
      <w:r w:rsidR="00745A4B" w:rsidRPr="00352615">
        <w:rPr>
          <w:rFonts w:ascii="Gill Sans MT" w:eastAsia="Gill Sans" w:hAnsi="Gill Sans MT" w:cs="Gill Sans"/>
        </w:rPr>
        <w:t>’</w:t>
      </w:r>
      <w:r w:rsidRPr="00352615">
        <w:rPr>
          <w:rFonts w:ascii="Gill Sans MT" w:eastAsia="Gill Sans" w:hAnsi="Gill Sans MT" w:cs="Gill Sans"/>
        </w:rPr>
        <w:t xml:space="preserve"> (181). The point is that while Pentecostal practices may appear to be ocular-centric, they in fact persuade us to rethink sight itself—participating fully in the communal drama that deliverance services entail seeing the unseen. More broadly, Homewood argues that sex with demons encourage</w:t>
      </w:r>
      <w:r w:rsidR="00CA1A7F">
        <w:rPr>
          <w:rFonts w:ascii="Gill Sans MT" w:eastAsia="Gill Sans" w:hAnsi="Gill Sans MT" w:cs="Gill Sans"/>
        </w:rPr>
        <w:t>s</w:t>
      </w:r>
      <w:r w:rsidRPr="00352615">
        <w:rPr>
          <w:rFonts w:ascii="Gill Sans MT" w:eastAsia="Gill Sans" w:hAnsi="Gill Sans MT" w:cs="Gill Sans"/>
        </w:rPr>
        <w:t xml:space="preserve"> us to rethink and reimagine our relationship to the senses.</w:t>
      </w:r>
    </w:p>
    <w:p w14:paraId="5797224A" w14:textId="68CB4C8E" w:rsidR="00716B02" w:rsidRPr="00352615" w:rsidRDefault="00716B02" w:rsidP="00745A4B">
      <w:pPr>
        <w:spacing w:after="180"/>
        <w:ind w:firstLine="720"/>
        <w:contextualSpacing/>
        <w:jc w:val="both"/>
        <w:rPr>
          <w:rFonts w:ascii="Gill Sans MT" w:eastAsia="Gill Sans" w:hAnsi="Gill Sans MT" w:cs="Gill Sans"/>
        </w:rPr>
      </w:pPr>
      <w:r w:rsidRPr="00352615">
        <w:rPr>
          <w:rFonts w:ascii="Gill Sans MT" w:eastAsia="Gill Sans" w:hAnsi="Gill Sans MT" w:cs="Gill Sans"/>
        </w:rPr>
        <w:t xml:space="preserve">Homewood argues that to build a hermeneutics out of this reimagining: </w:t>
      </w:r>
      <w:r w:rsidR="00745A4B" w:rsidRPr="00352615">
        <w:rPr>
          <w:rFonts w:ascii="Gill Sans MT" w:eastAsia="Gill Sans" w:hAnsi="Gill Sans MT" w:cs="Gill Sans"/>
        </w:rPr>
        <w:t>‘</w:t>
      </w:r>
      <w:r w:rsidRPr="00352615">
        <w:rPr>
          <w:rFonts w:ascii="Gill Sans MT" w:eastAsia="Gill Sans" w:hAnsi="Gill Sans MT" w:cs="Gill Sans"/>
        </w:rPr>
        <w:t>an intense interdisciplinar</w:t>
      </w:r>
      <w:r w:rsidR="00CA1A7F">
        <w:rPr>
          <w:rFonts w:ascii="Gill Sans MT" w:eastAsia="Gill Sans" w:hAnsi="Gill Sans MT" w:cs="Gill Sans"/>
        </w:rPr>
        <w:t>it</w:t>
      </w:r>
      <w:r w:rsidRPr="00352615">
        <w:rPr>
          <w:rFonts w:ascii="Gill Sans MT" w:eastAsia="Gill Sans" w:hAnsi="Gill Sans MT" w:cs="Gill Sans"/>
        </w:rPr>
        <w:t>y was required</w:t>
      </w:r>
      <w:r w:rsidR="00CA1A7F">
        <w:rPr>
          <w:rFonts w:ascii="Gill Sans MT" w:eastAsia="Gill Sans" w:hAnsi="Gill Sans MT" w:cs="Gill Sans"/>
        </w:rPr>
        <w:t xml:space="preserve"> [</w:t>
      </w:r>
      <w:r w:rsidRPr="00352615">
        <w:rPr>
          <w:rFonts w:ascii="Gill Sans MT" w:eastAsia="Gill Sans" w:hAnsi="Gill Sans MT" w:cs="Gill Sans"/>
        </w:rPr>
        <w:t>…</w:t>
      </w:r>
      <w:r w:rsidR="00CA1A7F">
        <w:rPr>
          <w:rFonts w:ascii="Gill Sans MT" w:eastAsia="Gill Sans" w:hAnsi="Gill Sans MT" w:cs="Gill Sans"/>
        </w:rPr>
        <w:t>]</w:t>
      </w:r>
      <w:r w:rsidRPr="00352615">
        <w:rPr>
          <w:rFonts w:ascii="Gill Sans MT" w:eastAsia="Gill Sans" w:hAnsi="Gill Sans MT" w:cs="Gill Sans"/>
        </w:rPr>
        <w:t xml:space="preserve"> queer theory, sense studies, animal studies, philosophy, theology, and Black studies are just some of the fields utili</w:t>
      </w:r>
      <w:r w:rsidR="00CA1A7F">
        <w:rPr>
          <w:rFonts w:ascii="Gill Sans MT" w:eastAsia="Gill Sans" w:hAnsi="Gill Sans MT" w:cs="Gill Sans"/>
        </w:rPr>
        <w:t>z</w:t>
      </w:r>
      <w:r w:rsidRPr="00352615">
        <w:rPr>
          <w:rFonts w:ascii="Gill Sans MT" w:eastAsia="Gill Sans" w:hAnsi="Gill Sans MT" w:cs="Gill Sans"/>
        </w:rPr>
        <w:t>ed to better understand the theoretical richness of Pentecostalism</w:t>
      </w:r>
      <w:r w:rsidR="00745A4B" w:rsidRPr="00352615">
        <w:rPr>
          <w:rFonts w:ascii="Gill Sans MT" w:eastAsia="Gill Sans" w:hAnsi="Gill Sans MT" w:cs="Gill Sans"/>
        </w:rPr>
        <w:t>’</w:t>
      </w:r>
      <w:r w:rsidRPr="00352615">
        <w:rPr>
          <w:rFonts w:ascii="Gill Sans MT" w:eastAsia="Gill Sans" w:hAnsi="Gill Sans MT" w:cs="Gill Sans"/>
        </w:rPr>
        <w:t xml:space="preserve"> (12). The ethnography, which takes the sensual extremely serious</w:t>
      </w:r>
      <w:r w:rsidR="00745A4B" w:rsidRPr="00352615">
        <w:rPr>
          <w:rFonts w:ascii="Gill Sans MT" w:eastAsia="Gill Sans" w:hAnsi="Gill Sans MT" w:cs="Gill Sans"/>
        </w:rPr>
        <w:t>ly</w:t>
      </w:r>
      <w:r w:rsidRPr="00352615">
        <w:rPr>
          <w:rFonts w:ascii="Gill Sans MT" w:eastAsia="Gill Sans" w:hAnsi="Gill Sans MT" w:cs="Gill Sans"/>
        </w:rPr>
        <w:t>, unfolds with thick description bolstered by interpretation informed by these various fields.</w:t>
      </w:r>
    </w:p>
    <w:p w14:paraId="60A66270" w14:textId="210F46C4" w:rsidR="00716B02" w:rsidRPr="00352615" w:rsidRDefault="00716B02" w:rsidP="00745A4B">
      <w:pPr>
        <w:spacing w:after="180"/>
        <w:ind w:firstLine="720"/>
        <w:contextualSpacing/>
        <w:jc w:val="both"/>
        <w:rPr>
          <w:rFonts w:ascii="Gill Sans MT" w:eastAsia="Gill Sans" w:hAnsi="Gill Sans MT" w:cs="Gill Sans"/>
        </w:rPr>
      </w:pPr>
      <w:r w:rsidRPr="00352615">
        <w:rPr>
          <w:rFonts w:ascii="Gill Sans MT" w:eastAsia="Gill Sans" w:hAnsi="Gill Sans MT" w:cs="Gill Sans"/>
        </w:rPr>
        <w:t xml:space="preserve">For one example out of several, Homewood appears to lean on a conception of queerness as being inherently subversive. He recounts one case, which is so startling in its violence that Homewood expresses anxiety over his ‘embodied complicity’ (145) as a passive participant-observer, of a woman outed as a lesbian against her will during a deliverance service (she is said to be possessed by the ‘spirit of lesbianism’). She is physically assaulted in a bid to make her submit. She however never stops struggling and resists deliverance to the very end. Finally, out of exhaustion (the attempt at deliverance takes two hours, out of a service which had already gone on for half a day), the exorcism is abandoned without fanfare, and proceedings move on—with her body still moving, ignored. The subject has not in fact been made docile. She tells Homewood afterwards that she does not feel that she needs to be delivered of lesbianism; she had believed she was to be delivered of some other spirit, and affirms that the exorcism did not work. She remains transgressive, even while maintaining a level of belief in deliverance. And indeed, prior to her verbal dissent, her body is one example among others of ‘bodies that refuse docility, bodies not seduced by Pentecostal noisemaking but instead by a </w:t>
      </w:r>
      <w:proofErr w:type="spellStart"/>
      <w:r w:rsidRPr="00352615">
        <w:rPr>
          <w:rFonts w:ascii="Gill Sans MT" w:eastAsia="Gill Sans" w:hAnsi="Gill Sans MT" w:cs="Gill Sans"/>
        </w:rPr>
        <w:t>choreosonic</w:t>
      </w:r>
      <w:proofErr w:type="spellEnd"/>
      <w:r w:rsidRPr="00352615">
        <w:rPr>
          <w:rFonts w:ascii="Gill Sans MT" w:eastAsia="Gill Sans" w:hAnsi="Gill Sans MT" w:cs="Gill Sans"/>
        </w:rPr>
        <w:t xml:space="preserve"> sense that constructs a </w:t>
      </w:r>
      <w:proofErr w:type="spellStart"/>
      <w:r w:rsidRPr="00352615">
        <w:rPr>
          <w:rFonts w:ascii="Gill Sans MT" w:eastAsia="Gill Sans" w:hAnsi="Gill Sans MT" w:cs="Gill Sans"/>
        </w:rPr>
        <w:t>clamoring</w:t>
      </w:r>
      <w:proofErr w:type="spellEnd"/>
      <w:r w:rsidRPr="00352615">
        <w:rPr>
          <w:rFonts w:ascii="Gill Sans MT" w:eastAsia="Gill Sans" w:hAnsi="Gill Sans MT" w:cs="Gill Sans"/>
        </w:rPr>
        <w:t xml:space="preserve"> resistance toward exclusionary Pentecostal sexual mores’ (152). By ‘noisemaking’, Homewood literally means the ritualised deliberate making of noise that is the norm in Pentecostal services. </w:t>
      </w:r>
    </w:p>
    <w:p w14:paraId="798B5081" w14:textId="3D974F06" w:rsidR="00716B02" w:rsidRPr="00352615" w:rsidRDefault="00716B02" w:rsidP="00745A4B">
      <w:pPr>
        <w:spacing w:after="180"/>
        <w:ind w:firstLine="720"/>
        <w:contextualSpacing/>
        <w:jc w:val="both"/>
        <w:rPr>
          <w:rFonts w:ascii="Gill Sans MT" w:eastAsia="Gill Sans" w:hAnsi="Gill Sans MT" w:cs="Gill Sans"/>
        </w:rPr>
      </w:pPr>
      <w:r w:rsidRPr="00352615">
        <w:rPr>
          <w:rFonts w:ascii="Gill Sans MT" w:eastAsia="Gill Sans" w:hAnsi="Gill Sans MT" w:cs="Gill Sans"/>
          <w:i/>
          <w:iCs/>
        </w:rPr>
        <w:t xml:space="preserve">Seductive </w:t>
      </w:r>
      <w:r w:rsidR="00F6171C">
        <w:rPr>
          <w:rFonts w:ascii="Gill Sans MT" w:eastAsia="Gill Sans" w:hAnsi="Gill Sans MT" w:cs="Gill Sans"/>
          <w:i/>
          <w:iCs/>
        </w:rPr>
        <w:t>s</w:t>
      </w:r>
      <w:r w:rsidRPr="00352615">
        <w:rPr>
          <w:rFonts w:ascii="Gill Sans MT" w:eastAsia="Gill Sans" w:hAnsi="Gill Sans MT" w:cs="Gill Sans"/>
          <w:i/>
          <w:iCs/>
        </w:rPr>
        <w:t>pirits</w:t>
      </w:r>
      <w:r w:rsidRPr="00352615">
        <w:rPr>
          <w:rFonts w:ascii="Gill Sans MT" w:eastAsia="Gill Sans" w:hAnsi="Gill Sans MT" w:cs="Gill Sans"/>
        </w:rPr>
        <w:t xml:space="preserve"> does not rely on queer theory alone or even majorly; but in the inherent queerness of sex with demons, it could be said to be generally focussed on subversion. For Pentecostal practices and ideas which may seem to uphold racist, demonising stereotypes about African sexuality and spirituality, Homewood finds them, despite themselves, valuable for how tarrying with them, to borrow his word, may prove ironically decolonial. </w:t>
      </w:r>
      <w:r w:rsidR="00745A4B" w:rsidRPr="00352615">
        <w:rPr>
          <w:rFonts w:ascii="Gill Sans MT" w:eastAsia="Gill Sans" w:hAnsi="Gill Sans MT" w:cs="Gill Sans"/>
        </w:rPr>
        <w:t>‘</w:t>
      </w:r>
      <w:r w:rsidRPr="00352615">
        <w:rPr>
          <w:rFonts w:ascii="Gill Sans MT" w:eastAsia="Gill Sans" w:hAnsi="Gill Sans MT" w:cs="Gill Sans"/>
        </w:rPr>
        <w:t>Cavorting with demons is decolonial in that it unveils the religio-sexual foundations of modernity/coloniality, delinks sexuality from binaries, good and evil, hetero- and homo, and constructs new sexual worlds</w:t>
      </w:r>
      <w:r w:rsidR="00745A4B" w:rsidRPr="00352615">
        <w:rPr>
          <w:rFonts w:ascii="Gill Sans MT" w:eastAsia="Gill Sans" w:hAnsi="Gill Sans MT" w:cs="Gill Sans"/>
        </w:rPr>
        <w:t>’</w:t>
      </w:r>
      <w:r w:rsidRPr="00352615">
        <w:rPr>
          <w:rFonts w:ascii="Gill Sans MT" w:eastAsia="Gill Sans" w:hAnsi="Gill Sans MT" w:cs="Gill Sans"/>
        </w:rPr>
        <w:t xml:space="preserve"> (209).</w:t>
      </w:r>
    </w:p>
    <w:p w14:paraId="4238DFD1" w14:textId="6A309F1D" w:rsidR="00716B02" w:rsidRPr="00352615" w:rsidRDefault="00716B02" w:rsidP="00745A4B">
      <w:pPr>
        <w:spacing w:after="180"/>
        <w:ind w:firstLine="720"/>
        <w:contextualSpacing/>
        <w:jc w:val="both"/>
        <w:rPr>
          <w:rFonts w:ascii="Gill Sans MT" w:eastAsia="Gill Sans" w:hAnsi="Gill Sans MT" w:cs="Gill Sans"/>
        </w:rPr>
      </w:pPr>
      <w:r w:rsidRPr="00352615">
        <w:rPr>
          <w:rFonts w:ascii="Gill Sans MT" w:eastAsia="Gill Sans" w:hAnsi="Gill Sans MT" w:cs="Gill Sans"/>
        </w:rPr>
        <w:t xml:space="preserve">Homewood’s book will naturally be of use to anyone interested in the unique permutations of postcolonial spirituality and religion; it is also of great benefit to anyone </w:t>
      </w:r>
      <w:r w:rsidRPr="00352615">
        <w:rPr>
          <w:rFonts w:ascii="Gill Sans MT" w:eastAsia="Gill Sans" w:hAnsi="Gill Sans MT" w:cs="Gill Sans"/>
        </w:rPr>
        <w:lastRenderedPageBreak/>
        <w:t xml:space="preserve">concerned with the various fields from which it draws. It is particularly relevant, I believe, to the anthropology of experience, for how it stretches beyond the profane realm of the senses. Regrettably we do not get much insight into the socio-economic origins of the research subjects, and the congregations often seem homogeneously blurred into a kind of Greek chorus. It could also be argued that in Homewood’s </w:t>
      </w:r>
      <w:proofErr w:type="spellStart"/>
      <w:r w:rsidRPr="00352615">
        <w:rPr>
          <w:rFonts w:ascii="Gill Sans MT" w:eastAsia="Gill Sans" w:hAnsi="Gill Sans MT" w:cs="Gill Sans"/>
        </w:rPr>
        <w:t>pluriversal</w:t>
      </w:r>
      <w:proofErr w:type="spellEnd"/>
      <w:r w:rsidRPr="00352615">
        <w:rPr>
          <w:rFonts w:ascii="Gill Sans MT" w:eastAsia="Gill Sans" w:hAnsi="Gill Sans MT" w:cs="Gill Sans"/>
        </w:rPr>
        <w:t xml:space="preserve"> attempt to see through Pentecostal eyes, as it were, he does not engage with what </w:t>
      </w:r>
      <w:r w:rsidRPr="00352615">
        <w:rPr>
          <w:rFonts w:ascii="Gill Sans MT" w:eastAsia="Gill Sans" w:hAnsi="Gill Sans MT" w:cs="Gill Sans"/>
          <w:i/>
          <w:iCs/>
        </w:rPr>
        <w:t>really</w:t>
      </w:r>
      <w:r w:rsidRPr="00352615">
        <w:rPr>
          <w:rFonts w:ascii="Gill Sans MT" w:eastAsia="Gill Sans" w:hAnsi="Gill Sans MT" w:cs="Gill Sans"/>
        </w:rPr>
        <w:t xml:space="preserve"> may be happening in these psychologically intense and coercive environments, in case neither exorcisms nor sex with demons are not actually happening, and how believers may indeed be acting out trauma or desperation or indoctrination. </w:t>
      </w:r>
    </w:p>
    <w:p w14:paraId="0DA1A12B" w14:textId="7D24E78B" w:rsidR="00215FD0" w:rsidRDefault="00716B02" w:rsidP="00215FD0">
      <w:pPr>
        <w:ind w:firstLine="720"/>
        <w:jc w:val="both"/>
        <w:rPr>
          <w:rFonts w:ascii="Gill Sans MT" w:eastAsia="Gill Sans" w:hAnsi="Gill Sans MT" w:cs="Gill Sans"/>
        </w:rPr>
      </w:pPr>
      <w:r w:rsidRPr="00352615">
        <w:rPr>
          <w:rFonts w:ascii="Gill Sans MT" w:eastAsia="Gill Sans" w:hAnsi="Gill Sans MT" w:cs="Gill Sans"/>
        </w:rPr>
        <w:t xml:space="preserve">But perhaps I am imposing my own ideas about what might be psychologically </w:t>
      </w:r>
      <w:r w:rsidRPr="00352615">
        <w:rPr>
          <w:rFonts w:ascii="Gill Sans MT" w:eastAsia="Gill Sans" w:hAnsi="Gill Sans MT" w:cs="Gill Sans"/>
          <w:i/>
          <w:iCs/>
        </w:rPr>
        <w:t>real</w:t>
      </w:r>
      <w:r w:rsidRPr="00352615">
        <w:rPr>
          <w:rFonts w:ascii="Gill Sans MT" w:eastAsia="Gill Sans" w:hAnsi="Gill Sans MT" w:cs="Gill Sans"/>
        </w:rPr>
        <w:t xml:space="preserve">. All the same, with Homewood’s </w:t>
      </w:r>
      <w:r w:rsidR="00745A4B" w:rsidRPr="00352615">
        <w:rPr>
          <w:rFonts w:ascii="Gill Sans MT" w:eastAsia="Gill Sans" w:hAnsi="Gill Sans MT" w:cs="Gill Sans"/>
        </w:rPr>
        <w:t>self-awareness</w:t>
      </w:r>
      <w:r w:rsidRPr="00352615">
        <w:rPr>
          <w:rFonts w:ascii="Gill Sans MT" w:eastAsia="Gill Sans" w:hAnsi="Gill Sans MT" w:cs="Gill Sans"/>
        </w:rPr>
        <w:t xml:space="preserve"> as an ethnographer, and his openness to new experience without imposing judgement, </w:t>
      </w:r>
      <w:r w:rsidRPr="00352615">
        <w:rPr>
          <w:rFonts w:ascii="Gill Sans MT" w:eastAsia="Gill Sans" w:hAnsi="Gill Sans MT" w:cs="Gill Sans"/>
          <w:i/>
          <w:iCs/>
        </w:rPr>
        <w:t xml:space="preserve">Seductive </w:t>
      </w:r>
      <w:r w:rsidR="00F6171C">
        <w:rPr>
          <w:rFonts w:ascii="Gill Sans MT" w:eastAsia="Gill Sans" w:hAnsi="Gill Sans MT" w:cs="Gill Sans"/>
          <w:i/>
          <w:iCs/>
        </w:rPr>
        <w:t>s</w:t>
      </w:r>
      <w:r w:rsidRPr="00352615">
        <w:rPr>
          <w:rFonts w:ascii="Gill Sans MT" w:eastAsia="Gill Sans" w:hAnsi="Gill Sans MT" w:cs="Gill Sans"/>
          <w:i/>
          <w:iCs/>
        </w:rPr>
        <w:t>pirits</w:t>
      </w:r>
      <w:r w:rsidRPr="00352615">
        <w:rPr>
          <w:rFonts w:ascii="Gill Sans MT" w:eastAsia="Gill Sans" w:hAnsi="Gill Sans MT" w:cs="Gill Sans"/>
        </w:rPr>
        <w:t xml:space="preserve"> stands as a groundbreaking, dramatically and captivatingly written, intelligent account, which has the good humour to consider seriously and in detail the absurdities and injustices recounted without becoming unduly voyeuristic.</w:t>
      </w:r>
    </w:p>
    <w:p w14:paraId="7204B2A7" w14:textId="0CB098CF" w:rsidR="00745A4B" w:rsidRDefault="00745A4B" w:rsidP="00215FD0">
      <w:pPr>
        <w:jc w:val="both"/>
        <w:rPr>
          <w:rFonts w:ascii="Gill Sans MT" w:eastAsia="Calibri" w:hAnsi="Gill Sans MT"/>
          <w:noProof/>
        </w:rPr>
      </w:pPr>
    </w:p>
    <w:p w14:paraId="4BB9F5C0" w14:textId="77777777" w:rsidR="00352615" w:rsidRPr="00352615" w:rsidRDefault="00352615" w:rsidP="00745A4B">
      <w:pPr>
        <w:rPr>
          <w:rFonts w:ascii="Gill Sans MT" w:eastAsia="Calibri" w:hAnsi="Gill Sans MT"/>
          <w:noProof/>
        </w:rPr>
      </w:pPr>
    </w:p>
    <w:p w14:paraId="3946A419" w14:textId="77777777" w:rsidR="00745A4B" w:rsidRPr="00352615" w:rsidRDefault="00745A4B" w:rsidP="00745A4B">
      <w:pPr>
        <w:spacing w:line="192" w:lineRule="auto"/>
        <w:jc w:val="both"/>
        <w:rPr>
          <w:rFonts w:ascii="Gill Sans MT" w:eastAsia="PMingLiU" w:hAnsi="Gill Sans MT" w:cs="Arial"/>
          <w:kern w:val="2"/>
          <w:lang w:eastAsia="zh-TW"/>
          <w14:ligatures w14:val="standardContextual"/>
        </w:rPr>
      </w:pPr>
      <w:r w:rsidRPr="00352615">
        <w:rPr>
          <w:rFonts w:ascii="Gill Sans MT" w:eastAsia="PMingLiU" w:hAnsi="Gill Sans MT" w:cs="Arial"/>
          <w:noProof/>
          <w:kern w:val="2"/>
          <w:lang w:val="en-US"/>
          <w14:ligatures w14:val="standardContextual"/>
        </w:rPr>
        <mc:AlternateContent>
          <mc:Choice Requires="wps">
            <w:drawing>
              <wp:anchor distT="0" distB="0" distL="114300" distR="114300" simplePos="0" relativeHeight="251659264" behindDoc="0" locked="0" layoutInCell="1" allowOverlap="1" wp14:anchorId="5E6418AB" wp14:editId="41134870">
                <wp:simplePos x="0" y="0"/>
                <wp:positionH relativeFrom="column">
                  <wp:posOffset>-30480</wp:posOffset>
                </wp:positionH>
                <wp:positionV relativeFrom="paragraph">
                  <wp:posOffset>21590</wp:posOffset>
                </wp:positionV>
                <wp:extent cx="5974080" cy="0"/>
                <wp:effectExtent l="0" t="0" r="0" b="0"/>
                <wp:wrapNone/>
                <wp:docPr id="1441862476" name="Straight Connector 1441862476"/>
                <wp:cNvGraphicFramePr/>
                <a:graphic xmlns:a="http://schemas.openxmlformats.org/drawingml/2006/main">
                  <a:graphicData uri="http://schemas.microsoft.com/office/word/2010/wordprocessingShape">
                    <wps:wsp>
                      <wps:cNvCnPr/>
                      <wps:spPr>
                        <a:xfrm>
                          <a:off x="0" y="0"/>
                          <a:ext cx="5974080" cy="0"/>
                        </a:xfrm>
                        <a:prstGeom prst="line">
                          <a:avLst/>
                        </a:prstGeom>
                        <a:noFill/>
                        <a:ln w="6350" cap="flat" cmpd="sng" algn="ctr">
                          <a:solidFill>
                            <a:srgbClr val="156082"/>
                          </a:solidFill>
                          <a:prstDash val="solid"/>
                          <a:miter lim="800000"/>
                        </a:ln>
                        <a:effectLst/>
                      </wps:spPr>
                      <wps:bodyPr/>
                    </wps:wsp>
                  </a:graphicData>
                </a:graphic>
              </wp:anchor>
            </w:drawing>
          </mc:Choice>
          <mc:Fallback>
            <w:pict>
              <v:line w14:anchorId="4838B582" id="Straight Connector 144186247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4pt,1.7pt" to="468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" strokecolor="#156082" strokeweight=".5pt">
                <v:stroke joinstyle="miter"/>
              </v:line>
            </w:pict>
          </mc:Fallback>
        </mc:AlternateContent>
      </w:r>
    </w:p>
    <w:p w14:paraId="2F4EA315" w14:textId="4792476D" w:rsidR="00352615" w:rsidRDefault="00745A4B" w:rsidP="00745A4B">
      <w:pPr>
        <w:spacing w:after="180"/>
        <w:contextualSpacing/>
        <w:jc w:val="both"/>
        <w:rPr>
          <w:rFonts w:ascii="Gill Sans MT" w:eastAsia="Gill Sans MT" w:hAnsi="Gill Sans MT" w:cs="Gill Sans MT"/>
          <w:color w:val="000000"/>
          <w:lang w:val="en-US"/>
        </w:rPr>
      </w:pPr>
      <w:r w:rsidRPr="00352615">
        <w:rPr>
          <w:rFonts w:ascii="Gill Sans MT" w:eastAsia="Gill Sans MT" w:hAnsi="Gill Sans MT" w:cs="Gill Sans MT"/>
          <w:color w:val="000000"/>
          <w:lang w:val="en-US"/>
        </w:rPr>
        <w:t xml:space="preserve">This work is copyright of the author. </w:t>
      </w:r>
    </w:p>
    <w:p w14:paraId="1E5C3C99" w14:textId="77777777" w:rsidR="00352615" w:rsidRDefault="00352615" w:rsidP="00745A4B">
      <w:pPr>
        <w:spacing w:after="180"/>
        <w:contextualSpacing/>
        <w:jc w:val="both"/>
        <w:rPr>
          <w:rFonts w:ascii="Gill Sans MT" w:eastAsia="Gill Sans MT" w:hAnsi="Gill Sans MT" w:cs="Gill Sans MT"/>
          <w:color w:val="000000"/>
          <w:lang w:val="en-US"/>
        </w:rPr>
      </w:pPr>
    </w:p>
    <w:p w14:paraId="2E74E498" w14:textId="77777777" w:rsidR="00352615" w:rsidRDefault="00745A4B" w:rsidP="00745A4B">
      <w:pPr>
        <w:spacing w:after="180"/>
        <w:contextualSpacing/>
        <w:jc w:val="both"/>
        <w:rPr>
          <w:rFonts w:ascii="Gill Sans MT" w:hAnsi="Gill Sans MT"/>
        </w:rPr>
      </w:pPr>
      <w:r w:rsidRPr="00352615">
        <w:rPr>
          <w:rFonts w:ascii="Gill Sans MT" w:eastAsia="Gill Sans MT" w:hAnsi="Gill Sans MT" w:cs="Gill Sans MT"/>
          <w:color w:val="000000"/>
          <w:lang w:val="en-US"/>
        </w:rPr>
        <w:t>It has been published by JASO under a Creative Commons Attribution-</w:t>
      </w:r>
      <w:proofErr w:type="spellStart"/>
      <w:r w:rsidRPr="00352615">
        <w:rPr>
          <w:rFonts w:ascii="Gill Sans MT" w:eastAsia="Gill Sans MT" w:hAnsi="Gill Sans MT" w:cs="Gill Sans MT"/>
          <w:color w:val="000000"/>
          <w:lang w:val="en-US"/>
        </w:rPr>
        <w:t>NonCommercial</w:t>
      </w:r>
      <w:proofErr w:type="spellEnd"/>
      <w:r w:rsidRPr="00352615">
        <w:rPr>
          <w:rFonts w:ascii="Gill Sans MT" w:eastAsia="Gill Sans MT" w:hAnsi="Gill Sans MT" w:cs="Gill Sans MT"/>
          <w:color w:val="000000"/>
          <w:lang w:val="en-US"/>
        </w:rPr>
        <w:t>-</w:t>
      </w:r>
      <w:proofErr w:type="spellStart"/>
      <w:r w:rsidRPr="00352615">
        <w:rPr>
          <w:rFonts w:ascii="Gill Sans MT" w:eastAsia="Gill Sans MT" w:hAnsi="Gill Sans MT" w:cs="Gill Sans MT"/>
          <w:color w:val="000000"/>
          <w:lang w:val="en-US"/>
        </w:rPr>
        <w:t>NonDerivatives</w:t>
      </w:r>
      <w:proofErr w:type="spellEnd"/>
      <w:r w:rsidRPr="00352615">
        <w:rPr>
          <w:rFonts w:ascii="Gill Sans MT" w:eastAsia="Gill Sans MT" w:hAnsi="Gill Sans MT" w:cs="Gill Sans MT"/>
          <w:color w:val="000000"/>
          <w:lang w:val="en-US"/>
        </w:rPr>
        <w:t xml:space="preserve"> </w:t>
      </w:r>
      <w:proofErr w:type="spellStart"/>
      <w:r w:rsidRPr="00352615">
        <w:rPr>
          <w:rFonts w:ascii="Gill Sans MT" w:eastAsia="Gill Sans MT" w:hAnsi="Gill Sans MT" w:cs="Gill Sans MT"/>
          <w:color w:val="000000"/>
          <w:lang w:val="en-US"/>
        </w:rPr>
        <w:t>ShareAlike</w:t>
      </w:r>
      <w:proofErr w:type="spellEnd"/>
      <w:r w:rsidRPr="00352615">
        <w:rPr>
          <w:rFonts w:ascii="Gill Sans MT" w:eastAsia="Gill Sans MT" w:hAnsi="Gill Sans MT" w:cs="Gill Sans MT"/>
          <w:color w:val="000000"/>
          <w:lang w:val="en-US"/>
        </w:rPr>
        <w:t xml:space="preserve"> License (CC BY NC ND 4.0) that allows others to share the work with an acknowledgement of the work's authorship and initial publication in this journal as long as it is non-commercial and that those using the work must agree to distribute it under the same license as the original. </w:t>
      </w:r>
      <w:hyperlink r:id="rId7" w:history="1">
        <w:r w:rsidRPr="00352615">
          <w:rPr>
            <w:rFonts w:ascii="Gill Sans MT" w:eastAsia="Calibri" w:hAnsi="Gill Sans MT" w:cs="Arial"/>
            <w:color w:val="0563C1"/>
            <w:u w:val="single"/>
          </w:rPr>
          <w:t>https://creativecommons.org/licenses/by-nc-nd/4.0/</w:t>
        </w:r>
      </w:hyperlink>
    </w:p>
    <w:p w14:paraId="1F193F21" w14:textId="77777777" w:rsidR="00352615" w:rsidRDefault="00352615" w:rsidP="00745A4B">
      <w:pPr>
        <w:spacing w:after="180"/>
        <w:contextualSpacing/>
        <w:jc w:val="both"/>
        <w:rPr>
          <w:rFonts w:ascii="Gill Sans MT" w:hAnsi="Gill Sans MT"/>
        </w:rPr>
      </w:pPr>
    </w:p>
    <w:p w14:paraId="62486C05" w14:textId="55725AFB" w:rsidR="00411082" w:rsidRPr="00352615" w:rsidRDefault="00352615" w:rsidP="00352615">
      <w:pPr>
        <w:spacing w:after="180"/>
        <w:contextualSpacing/>
        <w:jc w:val="center"/>
        <w:rPr>
          <w:rFonts w:ascii="Gill Sans MT" w:eastAsia="Gill Sans" w:hAnsi="Gill Sans MT" w:cs="Gill Sans"/>
        </w:rPr>
      </w:pPr>
      <w:r w:rsidRPr="00352615">
        <w:rPr>
          <w:rFonts w:ascii="Gill Sans MT" w:eastAsia="MS Mincho" w:hAnsi="Gill Sans MT" w:cs="Arial"/>
          <w:noProof/>
          <w:kern w:val="2"/>
          <w:lang w:val="en-US" w:eastAsia="zh-CN"/>
          <w14:ligatures w14:val="standardContextual"/>
        </w:rPr>
        <w:drawing>
          <wp:inline distT="0" distB="0" distL="0" distR="0" wp14:anchorId="05DCCE66" wp14:editId="49A2E3E0">
            <wp:extent cx="1226820" cy="426720"/>
            <wp:effectExtent l="0" t="0" r="0" b="0"/>
            <wp:docPr id="2040810638" name="Picture 23" descr="A sign with a person and dollar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810638" name="Picture 23" descr="A sign with a person and dollar symbol&#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6820" cy="426720"/>
                    </a:xfrm>
                    <a:prstGeom prst="rect">
                      <a:avLst/>
                    </a:prstGeom>
                    <a:noFill/>
                    <a:ln>
                      <a:noFill/>
                    </a:ln>
                  </pic:spPr>
                </pic:pic>
              </a:graphicData>
            </a:graphic>
          </wp:inline>
        </w:drawing>
      </w:r>
    </w:p>
    <w:sectPr w:rsidR="00411082" w:rsidRPr="00352615" w:rsidSect="005B622F">
      <w:headerReference w:type="default" r:id="rId9"/>
      <w:footerReference w:type="even" r:id="rId10"/>
      <w:footerReference w:type="default" r:id="rId11"/>
      <w:headerReference w:type="first" r:id="rId12"/>
      <w:footerReference w:type="first" r:id="rId13"/>
      <w:pgSz w:w="11900" w:h="16840"/>
      <w:pgMar w:top="1440" w:right="1440" w:bottom="1440" w:left="1440" w:header="709" w:footer="709" w:gutter="0"/>
      <w:pgNumType w:fmt="numberInDash" w:start="203"/>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C902DC" w14:textId="77777777" w:rsidR="00A02D8B" w:rsidRDefault="00A02D8B">
      <w:r>
        <w:separator/>
      </w:r>
    </w:p>
  </w:endnote>
  <w:endnote w:type="continuationSeparator" w:id="0">
    <w:p w14:paraId="2F0E6F7A" w14:textId="77777777" w:rsidR="00A02D8B" w:rsidRDefault="00A02D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87FB1DDD-DD9D-4CAB-8171-980779D47867}"/>
    <w:embedItalic r:id="rId2" w:fontKey="{DE1148C6-FA23-41EA-9286-91583F99B038}"/>
  </w:font>
  <w:font w:name="Gill Sans MT">
    <w:panose1 w:val="020B0502020104020203"/>
    <w:charset w:val="00"/>
    <w:family w:val="swiss"/>
    <w:pitch w:val="variable"/>
    <w:sig w:usb0="00000007" w:usb1="00000000" w:usb2="00000000" w:usb3="00000000" w:csb0="00000003" w:csb1="00000000"/>
    <w:embedRegular r:id="rId3" w:fontKey="{F9483EA2-972A-45FA-BA59-71F2C6B8B06F}"/>
    <w:embedBold r:id="rId4" w:fontKey="{20838E33-B707-4AAB-906C-41316D88BA18}"/>
    <w:embedItalic r:id="rId5" w:fontKey="{C279B42C-D0F8-4316-B65C-2D856D2B1AA2}"/>
  </w:font>
  <w:font w:name="Calibri">
    <w:panose1 w:val="020F0502020204030204"/>
    <w:charset w:val="00"/>
    <w:family w:val="swiss"/>
    <w:pitch w:val="variable"/>
    <w:sig w:usb0="E4002EFF" w:usb1="C200247B" w:usb2="00000009" w:usb3="00000000" w:csb0="000001FF" w:csb1="00000000"/>
    <w:embedRegular r:id="rId6" w:fontKey="{E38D8FB8-8E0E-40AA-BE55-8DD8B735B601}"/>
  </w:font>
  <w:font w:name="Arial">
    <w:panose1 w:val="020B0604020202020204"/>
    <w:charset w:val="00"/>
    <w:family w:val="swiss"/>
    <w:pitch w:val="variable"/>
    <w:sig w:usb0="E0002EFF" w:usb1="C000785B" w:usb2="00000009" w:usb3="00000000" w:csb0="000001FF" w:csb1="00000000"/>
  </w:font>
  <w:font w:name="Gill Sans">
    <w:altName w:val="Arial"/>
    <w:charset w:val="B1"/>
    <w:family w:val="swiss"/>
    <w:pitch w:val="variable"/>
    <w:sig w:usb0="80000A67" w:usb1="00000000" w:usb2="00000000" w:usb3="00000000" w:csb0="000001F7"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7" w:fontKey="{A1C9BBF8-D77A-4853-B7F8-D81DB67A4D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87995" w14:textId="77777777" w:rsidR="00411082" w:rsidRDefault="00716B02">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DDBEF00" w14:textId="77777777" w:rsidR="00411082" w:rsidRDefault="00411082">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65321315"/>
      <w:showingPlcHdr/>
      <w:docPartObj>
        <w:docPartGallery w:val="Page Numbers (Bottom of Page)"/>
        <w:docPartUnique/>
      </w:docPartObj>
    </w:sdtPr>
    <w:sdtContent>
      <w:p w14:paraId="73D94B83" w14:textId="77777777" w:rsidR="006F47B7" w:rsidRDefault="006F47B7" w:rsidP="006F47B7">
        <w:pPr>
          <w:pStyle w:val="Footer"/>
          <w:framePr w:wrap="none" w:vAnchor="text" w:hAnchor="margin" w:xAlign="center" w:y="1"/>
          <w:rPr>
            <w:rStyle w:val="PageNumber"/>
            <w:noProof/>
          </w:rPr>
        </w:pPr>
        <w:r w:rsidRPr="6DB29C22">
          <w:rPr>
            <w:rStyle w:val="PageNumber"/>
          </w:rPr>
          <w:t xml:space="preserve">     </w:t>
        </w:r>
      </w:p>
    </w:sdtContent>
  </w:sdt>
  <w:sdt>
    <w:sdtPr>
      <w:rPr>
        <w:rFonts w:ascii="Gill Sans MT" w:hAnsi="Gill Sans MT"/>
      </w:rPr>
      <w:id w:val="1255787671"/>
      <w:docPartObj>
        <w:docPartGallery w:val="Page Numbers (Bottom of Page)"/>
        <w:docPartUnique/>
      </w:docPartObj>
    </w:sdtPr>
    <w:sdtEndPr>
      <w:rPr>
        <w:noProof/>
      </w:rPr>
    </w:sdtEndPr>
    <w:sdtContent>
      <w:p w14:paraId="0CAF352D" w14:textId="77777777" w:rsidR="00B62281" w:rsidRDefault="00B62281" w:rsidP="006F47B7">
        <w:pPr>
          <w:pStyle w:val="Footer"/>
          <w:rPr>
            <w:rFonts w:ascii="Gill Sans MT" w:hAnsi="Gill Sans MT"/>
          </w:rPr>
        </w:pPr>
      </w:p>
      <w:p w14:paraId="133EDD17" w14:textId="1F5F7DBD" w:rsidR="00411082" w:rsidRPr="006F47B7" w:rsidRDefault="006F47B7" w:rsidP="006F47B7">
        <w:pPr>
          <w:pStyle w:val="Footer"/>
          <w:rPr>
            <w:rFonts w:ascii="Gill Sans MT" w:hAnsi="Gill Sans MT"/>
          </w:rPr>
        </w:pPr>
        <w:r w:rsidRPr="003D5B51">
          <w:rPr>
            <w:rFonts w:ascii="Gill Sans MT" w:hAnsi="Gill Sans MT"/>
            <w:lang w:val="en-US"/>
          </w:rPr>
          <w:t xml:space="preserve">JASO ISSN: 2040-1876 Vol XVII 2025                                                                      </w:t>
        </w:r>
        <w:r w:rsidRPr="003D5B51">
          <w:rPr>
            <w:rFonts w:ascii="Gill Sans MT" w:hAnsi="Gill Sans MT"/>
          </w:rPr>
          <w:fldChar w:fldCharType="begin"/>
        </w:r>
        <w:r w:rsidRPr="003D5B51">
          <w:rPr>
            <w:rFonts w:ascii="Gill Sans MT" w:hAnsi="Gill Sans MT"/>
          </w:rPr>
          <w:instrText xml:space="preserve"> PAGE   \* MERGEFORMAT </w:instrText>
        </w:r>
        <w:r w:rsidRPr="003D5B51">
          <w:rPr>
            <w:rFonts w:ascii="Gill Sans MT" w:hAnsi="Gill Sans MT"/>
          </w:rPr>
          <w:fldChar w:fldCharType="separate"/>
        </w:r>
        <w:r>
          <w:rPr>
            <w:rFonts w:ascii="Gill Sans MT" w:hAnsi="Gill Sans MT"/>
          </w:rPr>
          <w:t>- 2 -</w:t>
        </w:r>
        <w:r w:rsidRPr="003D5B51">
          <w:rPr>
            <w:rFonts w:ascii="Gill Sans MT" w:hAnsi="Gill Sans MT"/>
            <w:noProof/>
          </w:rPr>
          <w:fldChar w:fldCharType="end"/>
        </w:r>
      </w:p>
    </w:sdtContent>
  </w:sdt>
  <w:p w14:paraId="4101652C" w14:textId="77777777" w:rsidR="00411082" w:rsidRDefault="00411082">
    <w:pPr>
      <w:pBdr>
        <w:top w:val="nil"/>
        <w:left w:val="nil"/>
        <w:bottom w:val="nil"/>
        <w:right w:val="nil"/>
        <w:between w:val="nil"/>
      </w:pBdr>
      <w:tabs>
        <w:tab w:val="center" w:pos="4680"/>
        <w:tab w:val="right" w:pos="9360"/>
      </w:tabs>
      <w:ind w:right="360"/>
      <w:rPr>
        <w:rFonts w:ascii="Gill Sans" w:eastAsia="Gill Sans" w:hAnsi="Gill Sans" w:cs="Gill Sans"/>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332FBD4B" w14:paraId="13EF3F24" w14:textId="77777777" w:rsidTr="332FBD4B">
      <w:trPr>
        <w:trHeight w:val="300"/>
      </w:trPr>
      <w:tc>
        <w:tcPr>
          <w:tcW w:w="3005" w:type="dxa"/>
        </w:tcPr>
        <w:p w14:paraId="35E00C25" w14:textId="37876623" w:rsidR="332FBD4B" w:rsidRDefault="332FBD4B" w:rsidP="332FBD4B">
          <w:pPr>
            <w:pStyle w:val="Header"/>
            <w:ind w:left="-115"/>
          </w:pPr>
        </w:p>
      </w:tc>
      <w:tc>
        <w:tcPr>
          <w:tcW w:w="3005" w:type="dxa"/>
        </w:tcPr>
        <w:p w14:paraId="323E5BEB" w14:textId="01FCEA87" w:rsidR="332FBD4B" w:rsidRDefault="332FBD4B" w:rsidP="332FBD4B">
          <w:pPr>
            <w:pStyle w:val="Header"/>
            <w:jc w:val="center"/>
          </w:pPr>
        </w:p>
      </w:tc>
      <w:tc>
        <w:tcPr>
          <w:tcW w:w="3005" w:type="dxa"/>
        </w:tcPr>
        <w:p w14:paraId="78AC0156" w14:textId="6F825D8A" w:rsidR="332FBD4B" w:rsidRDefault="332FBD4B" w:rsidP="332FBD4B">
          <w:pPr>
            <w:pStyle w:val="Header"/>
            <w:ind w:right="-115"/>
            <w:jc w:val="right"/>
          </w:pPr>
        </w:p>
      </w:tc>
    </w:tr>
  </w:tbl>
  <w:p w14:paraId="681CFE63" w14:textId="09CB70B0" w:rsidR="332FBD4B" w:rsidRDefault="332FBD4B" w:rsidP="332FBD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41E49F" w14:textId="77777777" w:rsidR="00A02D8B" w:rsidRDefault="00A02D8B">
      <w:r>
        <w:separator/>
      </w:r>
    </w:p>
  </w:footnote>
  <w:footnote w:type="continuationSeparator" w:id="0">
    <w:p w14:paraId="7878E5F6" w14:textId="77777777" w:rsidR="00A02D8B" w:rsidRDefault="00A02D8B">
      <w:r>
        <w:continuationSeparator/>
      </w:r>
    </w:p>
  </w:footnote>
  <w:footnote w:id="1">
    <w:p w14:paraId="1C4C07AC" w14:textId="077E21D0" w:rsidR="00411082" w:rsidRDefault="00716B02" w:rsidP="006F47B7">
      <w:pPr>
        <w:jc w:val="both"/>
        <w:rPr>
          <w:rFonts w:ascii="Gill Sans" w:eastAsia="Gill Sans" w:hAnsi="Gill Sans" w:cs="Gill Sans"/>
          <w:sz w:val="20"/>
          <w:szCs w:val="20"/>
        </w:rPr>
      </w:pPr>
      <w:r w:rsidRPr="00C73FCF">
        <w:rPr>
          <w:rFonts w:ascii="Gill Sans MT" w:hAnsi="Gill Sans MT"/>
          <w:vertAlign w:val="superscript"/>
        </w:rPr>
        <w:footnoteRef/>
      </w:r>
      <w:r w:rsidRPr="00C73FCF">
        <w:rPr>
          <w:rFonts w:ascii="Gill Sans MT" w:eastAsia="Gill Sans" w:hAnsi="Gill Sans MT" w:cs="Gill Sans"/>
          <w:sz w:val="20"/>
          <w:szCs w:val="20"/>
        </w:rPr>
        <w:t xml:space="preserve"> MSc</w:t>
      </w:r>
      <w:r w:rsidR="00745A4B" w:rsidRPr="00C73FCF">
        <w:rPr>
          <w:rFonts w:ascii="Gill Sans MT" w:eastAsia="Gill Sans" w:hAnsi="Gill Sans MT" w:cs="Gill Sans"/>
          <w:sz w:val="20"/>
          <w:szCs w:val="20"/>
        </w:rPr>
        <w:t xml:space="preserve"> candidate in</w:t>
      </w:r>
      <w:r w:rsidRPr="00C73FCF">
        <w:rPr>
          <w:rFonts w:ascii="Gill Sans MT" w:eastAsia="Gill Sans" w:hAnsi="Gill Sans MT" w:cs="Gill Sans"/>
          <w:sz w:val="20"/>
          <w:szCs w:val="20"/>
        </w:rPr>
        <w:t xml:space="preserve"> Visual, Material and Museum Anthropology, School of Anthropology and Museum Ethnography, Reuben College, University of Oxford</w:t>
      </w:r>
      <w:r w:rsidR="00352615">
        <w:rPr>
          <w:rFonts w:ascii="Gill Sans MT" w:eastAsia="Gill Sans" w:hAnsi="Gill Sans MT" w:cs="Gill Sans"/>
          <w:sz w:val="20"/>
          <w:szCs w:val="20"/>
        </w:rPr>
        <w:t xml:space="preserve">. </w:t>
      </w:r>
      <w:r w:rsidRPr="00C73FCF">
        <w:rPr>
          <w:rFonts w:ascii="Gill Sans MT" w:eastAsia="Gill Sans" w:hAnsi="Gill Sans MT" w:cs="Gill Sans"/>
          <w:sz w:val="20"/>
          <w:szCs w:val="20"/>
        </w:rPr>
        <w:t xml:space="preserve">Email: </w:t>
      </w:r>
      <w:hyperlink r:id="rId1" w:history="1">
        <w:r w:rsidR="00352615" w:rsidRPr="00B7680D">
          <w:rPr>
            <w:rStyle w:val="Hyperlink"/>
            <w:rFonts w:ascii="Gill Sans MT" w:eastAsia="Gill Sans" w:hAnsi="Gill Sans MT" w:cs="Gill Sans"/>
            <w:sz w:val="20"/>
            <w:szCs w:val="20"/>
          </w:rPr>
          <w:t>abayomi.folaranmi@reuben.ox.ac.uk</w:t>
        </w:r>
      </w:hyperlink>
      <w:r w:rsidR="00352615">
        <w:rPr>
          <w:rFonts w:ascii="Gill Sans MT" w:eastAsia="Gill Sans" w:hAnsi="Gill Sans MT" w:cs="Gill Sans"/>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78278" w14:textId="4CE60925" w:rsidR="00411082" w:rsidRPr="006F47B7" w:rsidRDefault="006F47B7" w:rsidP="006F47B7">
    <w:pPr>
      <w:pBdr>
        <w:top w:val="nil"/>
        <w:left w:val="nil"/>
        <w:bottom w:val="nil"/>
        <w:right w:val="nil"/>
        <w:between w:val="nil"/>
      </w:pBdr>
      <w:tabs>
        <w:tab w:val="center" w:pos="4680"/>
        <w:tab w:val="right" w:pos="9360"/>
      </w:tabs>
      <w:jc w:val="right"/>
      <w:rPr>
        <w:rFonts w:ascii="Gill Sans MT" w:eastAsia="Gill Sans" w:hAnsi="Gill Sans MT" w:cs="Gill Sans"/>
        <w:i/>
        <w:iCs/>
        <w:color w:val="000000"/>
      </w:rPr>
    </w:pPr>
    <w:r w:rsidRPr="006F47B7">
      <w:rPr>
        <w:rFonts w:ascii="Gill Sans MT" w:eastAsia="Gill Sans" w:hAnsi="Gill Sans MT" w:cs="Gill Sans"/>
        <w:i/>
        <w:iCs/>
        <w:color w:val="000000"/>
      </w:rPr>
      <w:t>Book reviews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332FBD4B" w14:paraId="2F762C8B" w14:textId="77777777" w:rsidTr="332FBD4B">
      <w:trPr>
        <w:trHeight w:val="300"/>
      </w:trPr>
      <w:tc>
        <w:tcPr>
          <w:tcW w:w="3005" w:type="dxa"/>
        </w:tcPr>
        <w:p w14:paraId="131CFBFB" w14:textId="136F425E" w:rsidR="332FBD4B" w:rsidRDefault="332FBD4B" w:rsidP="332FBD4B">
          <w:pPr>
            <w:pStyle w:val="Header"/>
            <w:ind w:left="-115"/>
          </w:pPr>
        </w:p>
      </w:tc>
      <w:tc>
        <w:tcPr>
          <w:tcW w:w="3005" w:type="dxa"/>
        </w:tcPr>
        <w:p w14:paraId="59C4A864" w14:textId="2946A911" w:rsidR="332FBD4B" w:rsidRDefault="332FBD4B" w:rsidP="332FBD4B">
          <w:pPr>
            <w:pStyle w:val="Header"/>
            <w:jc w:val="center"/>
          </w:pPr>
        </w:p>
      </w:tc>
      <w:tc>
        <w:tcPr>
          <w:tcW w:w="3005" w:type="dxa"/>
        </w:tcPr>
        <w:p w14:paraId="11524359" w14:textId="09C96A1A" w:rsidR="332FBD4B" w:rsidRDefault="332FBD4B" w:rsidP="332FBD4B">
          <w:pPr>
            <w:pStyle w:val="Header"/>
            <w:ind w:right="-115"/>
            <w:jc w:val="right"/>
          </w:pPr>
        </w:p>
      </w:tc>
    </w:tr>
  </w:tbl>
  <w:p w14:paraId="4B64BC44" w14:textId="357A7A3D" w:rsidR="332FBD4B" w:rsidRDefault="332FBD4B" w:rsidP="332FBD4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082"/>
    <w:rsid w:val="00044DAC"/>
    <w:rsid w:val="00193ADA"/>
    <w:rsid w:val="00215FD0"/>
    <w:rsid w:val="00314DED"/>
    <w:rsid w:val="00344967"/>
    <w:rsid w:val="00352615"/>
    <w:rsid w:val="003F597B"/>
    <w:rsid w:val="00411082"/>
    <w:rsid w:val="005B622F"/>
    <w:rsid w:val="006C608F"/>
    <w:rsid w:val="006F47B7"/>
    <w:rsid w:val="00712A02"/>
    <w:rsid w:val="00716B02"/>
    <w:rsid w:val="00725474"/>
    <w:rsid w:val="00735C47"/>
    <w:rsid w:val="00745A4B"/>
    <w:rsid w:val="00825564"/>
    <w:rsid w:val="00A02D8B"/>
    <w:rsid w:val="00B62281"/>
    <w:rsid w:val="00C44FDD"/>
    <w:rsid w:val="00C73FCF"/>
    <w:rsid w:val="00C946BB"/>
    <w:rsid w:val="00CA1A7F"/>
    <w:rsid w:val="00D110A5"/>
    <w:rsid w:val="00D50785"/>
    <w:rsid w:val="00E458EA"/>
    <w:rsid w:val="00E65F5D"/>
    <w:rsid w:val="00F6171C"/>
    <w:rsid w:val="02A278E7"/>
    <w:rsid w:val="0F06CD11"/>
    <w:rsid w:val="332FBD4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89B00"/>
  <w15:docId w15:val="{13B7232E-C12F-4C9E-81E4-90EA44314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outlineLvl w:val="2"/>
    </w:pPr>
    <w:rPr>
      <w:b/>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uiPriority w:val="99"/>
    <w:unhideWhenUsed/>
    <w:rsid w:val="332FBD4B"/>
    <w:pPr>
      <w:tabs>
        <w:tab w:val="center" w:pos="4680"/>
        <w:tab w:val="right" w:pos="9360"/>
      </w:tabs>
    </w:pPr>
  </w:style>
  <w:style w:type="paragraph" w:styleId="Footer">
    <w:name w:val="footer"/>
    <w:basedOn w:val="Normal"/>
    <w:link w:val="FooterChar"/>
    <w:uiPriority w:val="99"/>
    <w:unhideWhenUsed/>
    <w:rsid w:val="332FBD4B"/>
    <w:pPr>
      <w:tabs>
        <w:tab w:val="center" w:pos="4680"/>
        <w:tab w:val="right" w:pos="9360"/>
      </w:tabs>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352615"/>
    <w:rPr>
      <w:color w:val="0000FF" w:themeColor="hyperlink"/>
      <w:u w:val="single"/>
    </w:rPr>
  </w:style>
  <w:style w:type="character" w:styleId="UnresolvedMention">
    <w:name w:val="Unresolved Mention"/>
    <w:basedOn w:val="DefaultParagraphFont"/>
    <w:uiPriority w:val="99"/>
    <w:semiHidden/>
    <w:unhideWhenUsed/>
    <w:rsid w:val="00352615"/>
    <w:rPr>
      <w:color w:val="605E5C"/>
      <w:shd w:val="clear" w:color="auto" w:fill="E1DFDD"/>
    </w:rPr>
  </w:style>
  <w:style w:type="character" w:customStyle="1" w:styleId="FooterChar">
    <w:name w:val="Footer Char"/>
    <w:basedOn w:val="DefaultParagraphFont"/>
    <w:link w:val="Footer"/>
    <w:uiPriority w:val="99"/>
    <w:rsid w:val="006F47B7"/>
  </w:style>
  <w:style w:type="character" w:styleId="PageNumber">
    <w:name w:val="page number"/>
    <w:basedOn w:val="DefaultParagraphFont"/>
    <w:uiPriority w:val="99"/>
    <w:semiHidden/>
    <w:unhideWhenUsed/>
    <w:rsid w:val="006F47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s://creativecommons.org/licenses/by-nc-nd/4.0/" TargetMode="External"/><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mailto:abayomi.folaranmi@reuben.ox.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1331</Words>
  <Characters>7538</Characters>
  <Application>Microsoft Office Word</Application>
  <DocSecurity>0</DocSecurity>
  <Lines>119</Lines>
  <Paragraphs>16</Paragraphs>
  <ScaleCrop>false</ScaleCrop>
  <Company/>
  <LinksUpToDate>false</LinksUpToDate>
  <CharactersWithSpaces>8853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Chihab El Khachab</cp:lastModifiedBy>
  <cp:revision>17</cp:revision>
  <cp:lastPrinted>2026-01-09T16:33:00Z</cp:lastPrinted>
  <dcterms:created xsi:type="dcterms:W3CDTF">2025-12-12T17:07:00Z</dcterms:created>
  <dcterms:modified xsi:type="dcterms:W3CDTF">2026-01-09T16:33:00Z</dcterms:modified>
</cp:coreProperties>
</file>