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7E1B" w14:textId="77777777" w:rsidR="004452F5" w:rsidRPr="008E4300" w:rsidRDefault="004452F5" w:rsidP="008E4300">
      <w:pPr>
        <w:spacing w:after="0" w:line="240" w:lineRule="auto"/>
        <w:jc w:val="center"/>
        <w:rPr>
          <w:rFonts w:ascii="Gill Sans MT" w:eastAsia="Calibri" w:hAnsi="Gill Sans MT" w:cs="Arial"/>
        </w:rPr>
      </w:pPr>
      <w:r w:rsidRPr="00C2513E">
        <w:rPr>
          <w:rFonts w:ascii="Gill Sans MT" w:eastAsia="Calibri" w:hAnsi="Gill Sans MT" w:cs="Arial"/>
          <w:noProof/>
          <w:lang w:val="en-US"/>
        </w:rPr>
        <w:drawing>
          <wp:inline distT="0" distB="0" distL="0" distR="0" wp14:anchorId="219D8B6F" wp14:editId="1AD0E130">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r w:rsidRPr="00C2513E">
        <w:rPr>
          <w:rFonts w:ascii="Calibri" w:eastAsia="Calibri" w:hAnsi="Calibri" w:cs="Arial"/>
        </w:rPr>
        <w:br/>
      </w:r>
    </w:p>
    <w:p w14:paraId="64E789C7" w14:textId="77777777" w:rsidR="004452F5" w:rsidRPr="008E4300" w:rsidRDefault="004452F5" w:rsidP="008E4300">
      <w:pPr>
        <w:spacing w:after="0" w:line="240" w:lineRule="auto"/>
        <w:jc w:val="center"/>
        <w:rPr>
          <w:rFonts w:ascii="Gill Sans MT" w:eastAsia="Calibri" w:hAnsi="Gill Sans MT" w:cs="Arial"/>
        </w:rPr>
      </w:pPr>
    </w:p>
    <w:p w14:paraId="66FA3552" w14:textId="77777777" w:rsidR="008E4300" w:rsidRDefault="00264029" w:rsidP="008E4300">
      <w:pPr>
        <w:spacing w:after="0" w:line="240" w:lineRule="auto"/>
        <w:jc w:val="both"/>
        <w:rPr>
          <w:rFonts w:ascii="Gill Sans MT" w:hAnsi="Gill Sans MT"/>
          <w:sz w:val="28"/>
          <w:szCs w:val="28"/>
        </w:rPr>
      </w:pPr>
      <w:r w:rsidRPr="46564741">
        <w:rPr>
          <w:rFonts w:ascii="Gill Sans MT" w:hAnsi="Gill Sans MT"/>
          <w:b/>
          <w:bCs/>
          <w:sz w:val="28"/>
          <w:szCs w:val="28"/>
        </w:rPr>
        <w:t>ASLI ZENGIN</w:t>
      </w:r>
      <w:r w:rsidR="008E4300">
        <w:rPr>
          <w:rFonts w:ascii="Gill Sans MT" w:hAnsi="Gill Sans MT"/>
          <w:sz w:val="28"/>
          <w:szCs w:val="28"/>
        </w:rPr>
        <w:t>.</w:t>
      </w:r>
      <w:r w:rsidRPr="46564741">
        <w:rPr>
          <w:rFonts w:ascii="Gill Sans MT" w:hAnsi="Gill Sans MT"/>
          <w:sz w:val="28"/>
          <w:szCs w:val="28"/>
        </w:rPr>
        <w:t xml:space="preserve"> </w:t>
      </w:r>
      <w:r w:rsidRPr="46564741">
        <w:rPr>
          <w:rFonts w:ascii="Gill Sans MT" w:hAnsi="Gill Sans MT"/>
          <w:i/>
          <w:iCs/>
          <w:sz w:val="28"/>
          <w:szCs w:val="28"/>
        </w:rPr>
        <w:t>VIOLENT INTIMACIES: THE TRANS EVERYDAY AND THE MAKING OF AN URBAN WORLD.</w:t>
      </w:r>
      <w:r w:rsidRPr="46564741">
        <w:rPr>
          <w:rFonts w:ascii="Gill Sans MT" w:hAnsi="Gill Sans MT"/>
          <w:sz w:val="28"/>
          <w:szCs w:val="28"/>
        </w:rPr>
        <w:t xml:space="preserve"> </w:t>
      </w:r>
      <w:r w:rsidR="008E4300">
        <w:rPr>
          <w:rFonts w:ascii="Gill Sans MT" w:hAnsi="Gill Sans MT"/>
          <w:sz w:val="28"/>
          <w:szCs w:val="28"/>
        </w:rPr>
        <w:t xml:space="preserve">DURHAM: </w:t>
      </w:r>
      <w:r w:rsidRPr="46564741">
        <w:rPr>
          <w:rFonts w:ascii="Gill Sans MT" w:hAnsi="Gill Sans MT"/>
          <w:sz w:val="28"/>
          <w:szCs w:val="28"/>
        </w:rPr>
        <w:t>DUKE UNIVERSITY PRESS 2024, 271 P. ISBN: 9781478025627</w:t>
      </w:r>
    </w:p>
    <w:p w14:paraId="6C2EF510" w14:textId="27DC6801" w:rsidR="004452F5" w:rsidRPr="00C2513E" w:rsidRDefault="004452F5" w:rsidP="008E4300">
      <w:pPr>
        <w:spacing w:after="0" w:line="240" w:lineRule="auto"/>
        <w:jc w:val="both"/>
        <w:rPr>
          <w:rFonts w:ascii="Gill Sans MT" w:eastAsia="Calibri" w:hAnsi="Gill Sans MT" w:cs="Calibri"/>
          <w:color w:val="000000"/>
        </w:rPr>
      </w:pPr>
    </w:p>
    <w:p w14:paraId="408AD3D2" w14:textId="77777777" w:rsidR="004452F5" w:rsidRPr="00C2513E" w:rsidRDefault="00264029" w:rsidP="008E4300">
      <w:pPr>
        <w:spacing w:after="0" w:line="240" w:lineRule="auto"/>
        <w:jc w:val="center"/>
        <w:rPr>
          <w:rFonts w:ascii="Gill Sans MT" w:eastAsia="Calibri" w:hAnsi="Gill Sans MT" w:cs="Calibri"/>
          <w:b/>
          <w:bCs/>
          <w:color w:val="000000"/>
        </w:rPr>
      </w:pPr>
      <w:r>
        <w:rPr>
          <w:rFonts w:ascii="Gill Sans MT" w:hAnsi="Gill Sans MT" w:hint="eastAsia"/>
          <w:sz w:val="28"/>
          <w:szCs w:val="28"/>
        </w:rPr>
        <w:t>PEYTON CHERRY</w:t>
      </w:r>
      <w:r w:rsidR="00E945F3">
        <w:rPr>
          <w:rStyle w:val="FootnoteReference"/>
          <w:rFonts w:ascii="Gill Sans MT" w:hAnsi="Gill Sans MT"/>
          <w:sz w:val="28"/>
          <w:szCs w:val="28"/>
        </w:rPr>
        <w:footnoteReference w:id="1"/>
      </w:r>
    </w:p>
    <w:p w14:paraId="28ECEF3D" w14:textId="77777777" w:rsidR="004452F5" w:rsidRPr="008E4300" w:rsidRDefault="004452F5" w:rsidP="008E4300">
      <w:pPr>
        <w:spacing w:after="0" w:line="240" w:lineRule="auto"/>
        <w:jc w:val="both"/>
        <w:rPr>
          <w:rFonts w:ascii="Gill Sans MT" w:eastAsia="Calibri" w:hAnsi="Gill Sans MT" w:cs="Calibri"/>
          <w:color w:val="000000"/>
        </w:rPr>
      </w:pPr>
    </w:p>
    <w:p w14:paraId="22EC4BCB" w14:textId="24A2C9BC" w:rsidR="004452F5" w:rsidRPr="008E4300" w:rsidRDefault="004452F5" w:rsidP="008E4300">
      <w:pPr>
        <w:spacing w:after="0" w:line="240" w:lineRule="auto"/>
        <w:jc w:val="both"/>
        <w:rPr>
          <w:rFonts w:ascii="Gill Sans MT" w:eastAsia="Calibri" w:hAnsi="Gill Sans MT" w:cs="Calibri"/>
          <w:color w:val="000000"/>
        </w:rPr>
      </w:pPr>
    </w:p>
    <w:p w14:paraId="29A6DA5C" w14:textId="17DE0FFA" w:rsidR="00264029" w:rsidRPr="004452F5" w:rsidRDefault="00E945F3" w:rsidP="008E4300">
      <w:pPr>
        <w:spacing w:after="0" w:line="240" w:lineRule="auto"/>
        <w:jc w:val="both"/>
        <w:rPr>
          <w:rFonts w:ascii="Gill Sans MT" w:hAnsi="Gill Sans MT"/>
          <w:sz w:val="28"/>
          <w:szCs w:val="28"/>
        </w:rPr>
      </w:pPr>
      <w:r w:rsidRPr="004452F5">
        <w:rPr>
          <w:rFonts w:ascii="Gill Sans MT" w:hAnsi="Gill Sans MT"/>
        </w:rPr>
        <w:t>Composed of a series of vivid personal stories by transgender individuals in Turkey and descriptions of Turkish legal and political histories, Asl</w:t>
      </w:r>
      <w:r w:rsidR="0027458D">
        <w:rPr>
          <w:rFonts w:ascii="Gill Sans MT" w:hAnsi="Gill Sans MT"/>
        </w:rPr>
        <w:t>ı</w:t>
      </w:r>
      <w:r w:rsidRPr="004452F5">
        <w:rPr>
          <w:rFonts w:ascii="Gill Sans MT" w:hAnsi="Gill Sans MT"/>
        </w:rPr>
        <w:t xml:space="preserve"> Zengin’s monograph is a valuable from-the-field account of violence, intimacy, space, and state. Regardless of one’s regional speciality or theoretical focus, Zengin’s writing compels and educates about the everyday lives of people marginalised by a complex interplay of systems</w:t>
      </w:r>
      <w:r w:rsidRPr="004452F5">
        <w:rPr>
          <w:rFonts w:ascii="Gill Sans MT" w:hAnsi="Gill Sans MT"/>
          <w:b/>
          <w:bCs/>
          <w:i/>
          <w:iCs/>
        </w:rPr>
        <w:t xml:space="preserve">. </w:t>
      </w:r>
      <w:r w:rsidRPr="004452F5">
        <w:rPr>
          <w:rFonts w:ascii="Gill Sans MT" w:hAnsi="Gill Sans MT"/>
          <w:i/>
          <w:iCs/>
        </w:rPr>
        <w:t xml:space="preserve">Violent </w:t>
      </w:r>
      <w:r w:rsidR="00A77EFE">
        <w:rPr>
          <w:rFonts w:ascii="Gill Sans MT" w:hAnsi="Gill Sans MT"/>
          <w:i/>
          <w:iCs/>
        </w:rPr>
        <w:t>i</w:t>
      </w:r>
      <w:r w:rsidRPr="004452F5">
        <w:rPr>
          <w:rFonts w:ascii="Gill Sans MT" w:hAnsi="Gill Sans MT"/>
          <w:i/>
          <w:iCs/>
        </w:rPr>
        <w:t xml:space="preserve">ntimacies: </w:t>
      </w:r>
      <w:r w:rsidR="00A77EFE">
        <w:rPr>
          <w:rFonts w:ascii="Gill Sans MT" w:hAnsi="Gill Sans MT"/>
          <w:i/>
          <w:iCs/>
        </w:rPr>
        <w:t>t</w:t>
      </w:r>
      <w:r w:rsidRPr="004452F5">
        <w:rPr>
          <w:rFonts w:ascii="Gill Sans MT" w:hAnsi="Gill Sans MT"/>
          <w:i/>
          <w:iCs/>
        </w:rPr>
        <w:t xml:space="preserve">he </w:t>
      </w:r>
      <w:r w:rsidR="00A77EFE">
        <w:rPr>
          <w:rFonts w:ascii="Gill Sans MT" w:hAnsi="Gill Sans MT"/>
          <w:i/>
          <w:iCs/>
        </w:rPr>
        <w:t>t</w:t>
      </w:r>
      <w:r w:rsidRPr="004452F5">
        <w:rPr>
          <w:rFonts w:ascii="Gill Sans MT" w:hAnsi="Gill Sans MT"/>
          <w:i/>
          <w:iCs/>
        </w:rPr>
        <w:t xml:space="preserve">rans </w:t>
      </w:r>
      <w:proofErr w:type="spellStart"/>
      <w:r w:rsidR="00A77EFE">
        <w:rPr>
          <w:rFonts w:ascii="Gill Sans MT" w:hAnsi="Gill Sans MT"/>
          <w:i/>
          <w:iCs/>
        </w:rPr>
        <w:t>e</w:t>
      </w:r>
      <w:r w:rsidRPr="004452F5">
        <w:rPr>
          <w:rFonts w:ascii="Gill Sans MT" w:hAnsi="Gill Sans MT"/>
          <w:i/>
          <w:iCs/>
        </w:rPr>
        <w:t>veryday</w:t>
      </w:r>
      <w:proofErr w:type="spellEnd"/>
      <w:r w:rsidRPr="004452F5">
        <w:rPr>
          <w:rFonts w:ascii="Gill Sans MT" w:hAnsi="Gill Sans MT"/>
          <w:i/>
          <w:iCs/>
        </w:rPr>
        <w:t xml:space="preserve"> and the </w:t>
      </w:r>
      <w:r w:rsidR="00A77EFE">
        <w:rPr>
          <w:rFonts w:ascii="Gill Sans MT" w:hAnsi="Gill Sans MT"/>
          <w:i/>
          <w:iCs/>
        </w:rPr>
        <w:t>m</w:t>
      </w:r>
      <w:r w:rsidRPr="004452F5">
        <w:rPr>
          <w:rFonts w:ascii="Gill Sans MT" w:hAnsi="Gill Sans MT"/>
          <w:i/>
          <w:iCs/>
        </w:rPr>
        <w:t xml:space="preserve">aking of an </w:t>
      </w:r>
      <w:r w:rsidR="00A77EFE">
        <w:rPr>
          <w:rFonts w:ascii="Gill Sans MT" w:hAnsi="Gill Sans MT"/>
          <w:i/>
          <w:iCs/>
        </w:rPr>
        <w:t>u</w:t>
      </w:r>
      <w:r w:rsidRPr="004452F5">
        <w:rPr>
          <w:rFonts w:ascii="Gill Sans MT" w:hAnsi="Gill Sans MT"/>
          <w:i/>
          <w:iCs/>
        </w:rPr>
        <w:t xml:space="preserve">rban </w:t>
      </w:r>
      <w:r w:rsidR="00A77EFE">
        <w:rPr>
          <w:rFonts w:ascii="Gill Sans MT" w:hAnsi="Gill Sans MT"/>
          <w:i/>
          <w:iCs/>
        </w:rPr>
        <w:t>w</w:t>
      </w:r>
      <w:r w:rsidRPr="004452F5">
        <w:rPr>
          <w:rFonts w:ascii="Gill Sans MT" w:hAnsi="Gill Sans MT"/>
          <w:i/>
          <w:iCs/>
        </w:rPr>
        <w:t>orld</w:t>
      </w:r>
      <w:r w:rsidRPr="004452F5">
        <w:rPr>
          <w:rFonts w:ascii="Gill Sans MT" w:hAnsi="Gill Sans MT"/>
        </w:rPr>
        <w:t xml:space="preserve"> is a monograph published in 2024 by Duke University Press. In six chapters bookended </w:t>
      </w:r>
      <w:r w:rsidR="0070522B" w:rsidRPr="004452F5">
        <w:rPr>
          <w:rFonts w:ascii="Gill Sans MT" w:hAnsi="Gill Sans MT"/>
        </w:rPr>
        <w:t>with</w:t>
      </w:r>
      <w:r w:rsidRPr="004452F5">
        <w:rPr>
          <w:rFonts w:ascii="Gill Sans MT" w:hAnsi="Gill Sans MT"/>
        </w:rPr>
        <w:t xml:space="preserve"> an introduction and coda, </w:t>
      </w:r>
      <w:r w:rsidR="00A77EFE" w:rsidRPr="004452F5">
        <w:rPr>
          <w:rFonts w:ascii="Gill Sans MT" w:hAnsi="Gill Sans MT"/>
        </w:rPr>
        <w:t>Asl</w:t>
      </w:r>
      <w:r w:rsidR="00A77EFE">
        <w:rPr>
          <w:rFonts w:ascii="Gill Sans MT" w:hAnsi="Gill Sans MT"/>
        </w:rPr>
        <w:t>ı</w:t>
      </w:r>
      <w:r w:rsidR="00A77EFE" w:rsidRPr="004452F5">
        <w:rPr>
          <w:rFonts w:ascii="Gill Sans MT" w:hAnsi="Gill Sans MT"/>
        </w:rPr>
        <w:t xml:space="preserve"> </w:t>
      </w:r>
      <w:r w:rsidRPr="004452F5">
        <w:rPr>
          <w:rFonts w:ascii="Gill Sans MT" w:hAnsi="Gill Sans MT"/>
        </w:rPr>
        <w:t>Zengin covers the different mechanisms by which the Turkish state</w:t>
      </w:r>
      <w:r w:rsidR="00A77EFE">
        <w:rPr>
          <w:rFonts w:ascii="Gill Sans MT" w:hAnsi="Gill Sans MT"/>
        </w:rPr>
        <w:t xml:space="preserve"> </w:t>
      </w:r>
      <w:r w:rsidRPr="004452F5">
        <w:rPr>
          <w:rFonts w:ascii="Gill Sans MT" w:hAnsi="Gill Sans MT"/>
        </w:rPr>
        <w:t>enacts violence on transgender citizens while also focusing on the strategies these individuals use to make spaces for community and family.</w:t>
      </w:r>
    </w:p>
    <w:p w14:paraId="5CDA4C3F" w14:textId="35C0D4EF" w:rsidR="00520C9E" w:rsidRPr="004452F5" w:rsidRDefault="00591FBB" w:rsidP="008E4300">
      <w:pPr>
        <w:spacing w:after="0" w:line="240" w:lineRule="auto"/>
        <w:ind w:firstLine="720"/>
        <w:contextualSpacing/>
        <w:jc w:val="both"/>
        <w:rPr>
          <w:rFonts w:ascii="Gill Sans MT" w:hAnsi="Gill Sans MT"/>
        </w:rPr>
      </w:pPr>
      <w:r w:rsidRPr="004452F5">
        <w:rPr>
          <w:rFonts w:ascii="Gill Sans MT" w:hAnsi="Gill Sans MT"/>
        </w:rPr>
        <w:t xml:space="preserve">This book is situated across multiple disciplines, including anthropology, transgender studies, queer and feminist studies, and </w:t>
      </w:r>
      <w:r w:rsidR="00C02204" w:rsidRPr="004452F5">
        <w:rPr>
          <w:rFonts w:ascii="Gill Sans MT" w:hAnsi="Gill Sans MT"/>
        </w:rPr>
        <w:t>M</w:t>
      </w:r>
      <w:r w:rsidRPr="004452F5">
        <w:rPr>
          <w:rFonts w:ascii="Gill Sans MT" w:hAnsi="Gill Sans MT"/>
        </w:rPr>
        <w:t xml:space="preserve">iddle </w:t>
      </w:r>
      <w:r w:rsidR="00C02204" w:rsidRPr="004452F5">
        <w:rPr>
          <w:rFonts w:ascii="Gill Sans MT" w:hAnsi="Gill Sans MT"/>
        </w:rPr>
        <w:t>E</w:t>
      </w:r>
      <w:r w:rsidRPr="004452F5">
        <w:rPr>
          <w:rFonts w:ascii="Gill Sans MT" w:hAnsi="Gill Sans MT"/>
        </w:rPr>
        <w:t>astern studies. Zengin</w:t>
      </w:r>
      <w:r w:rsidR="00C02204" w:rsidRPr="004452F5">
        <w:rPr>
          <w:rFonts w:ascii="Gill Sans MT" w:hAnsi="Gill Sans MT"/>
        </w:rPr>
        <w:t xml:space="preserve">’s book covers </w:t>
      </w:r>
      <w:r w:rsidRPr="004452F5">
        <w:rPr>
          <w:rFonts w:ascii="Gill Sans MT" w:hAnsi="Gill Sans MT"/>
        </w:rPr>
        <w:t xml:space="preserve">over a decade of research on trans everyday lives in Turkey. </w:t>
      </w:r>
      <w:r w:rsidR="00C02204" w:rsidRPr="004452F5">
        <w:rPr>
          <w:rFonts w:ascii="Gill Sans MT" w:hAnsi="Gill Sans MT"/>
        </w:rPr>
        <w:t>In the</w:t>
      </w:r>
      <w:r w:rsidRPr="004452F5">
        <w:rPr>
          <w:rFonts w:ascii="Gill Sans MT" w:hAnsi="Gill Sans MT"/>
        </w:rPr>
        <w:t xml:space="preserve"> introduction</w:t>
      </w:r>
      <w:r w:rsidR="00C02204" w:rsidRPr="004452F5">
        <w:rPr>
          <w:rFonts w:ascii="Gill Sans MT" w:hAnsi="Gill Sans MT"/>
        </w:rPr>
        <w:t xml:space="preserve">, Zengin defines </w:t>
      </w:r>
      <w:r w:rsidRPr="004452F5">
        <w:rPr>
          <w:rFonts w:ascii="Gill Sans MT" w:hAnsi="Gill Sans MT"/>
        </w:rPr>
        <w:t xml:space="preserve">the concept </w:t>
      </w:r>
      <w:r w:rsidR="0070522B" w:rsidRPr="004452F5">
        <w:rPr>
          <w:rFonts w:ascii="Gill Sans MT" w:hAnsi="Gill Sans MT"/>
        </w:rPr>
        <w:t xml:space="preserve">of </w:t>
      </w:r>
      <w:r w:rsidRPr="004452F5">
        <w:rPr>
          <w:rFonts w:ascii="Gill Sans MT" w:hAnsi="Gill Sans MT"/>
        </w:rPr>
        <w:t xml:space="preserve">‘violent intimacies’ </w:t>
      </w:r>
      <w:r w:rsidR="00C02204" w:rsidRPr="004452F5">
        <w:rPr>
          <w:rFonts w:ascii="Gill Sans MT" w:hAnsi="Gill Sans MT"/>
        </w:rPr>
        <w:t>as one used to</w:t>
      </w:r>
      <w:r w:rsidRPr="004452F5">
        <w:rPr>
          <w:rFonts w:ascii="Gill Sans MT" w:hAnsi="Gill Sans MT"/>
        </w:rPr>
        <w:t xml:space="preserve"> </w:t>
      </w:r>
      <w:r w:rsidR="004452F5">
        <w:rPr>
          <w:rFonts w:ascii="Gill Sans MT" w:hAnsi="Gill Sans MT"/>
        </w:rPr>
        <w:t>‘</w:t>
      </w:r>
      <w:r w:rsidRPr="004452F5">
        <w:rPr>
          <w:rFonts w:ascii="Gill Sans MT" w:hAnsi="Gill Sans MT"/>
        </w:rPr>
        <w:t>expose the</w:t>
      </w:r>
      <w:r w:rsidR="00DB6534" w:rsidRPr="004452F5">
        <w:rPr>
          <w:rFonts w:ascii="Gill Sans MT" w:hAnsi="Gill Sans MT"/>
        </w:rPr>
        <w:t xml:space="preserve"> connective tissue of a </w:t>
      </w:r>
      <w:proofErr w:type="spellStart"/>
      <w:r w:rsidR="00DB6534" w:rsidRPr="004452F5">
        <w:rPr>
          <w:rFonts w:ascii="Gill Sans MT" w:hAnsi="Gill Sans MT"/>
        </w:rPr>
        <w:t>cisheteronormative</w:t>
      </w:r>
      <w:proofErr w:type="spellEnd"/>
      <w:r w:rsidR="00DB6534" w:rsidRPr="004452F5">
        <w:rPr>
          <w:rFonts w:ascii="Gill Sans MT" w:hAnsi="Gill Sans MT"/>
        </w:rPr>
        <w:t xml:space="preserve"> social order that is intertwined with neoliberal governmentality, biopolitical and necropolitical order, and authoritarian management of social difference</w:t>
      </w:r>
      <w:r w:rsidR="004452F5">
        <w:rPr>
          <w:rFonts w:ascii="Gill Sans MT" w:hAnsi="Gill Sans MT"/>
        </w:rPr>
        <w:t>’</w:t>
      </w:r>
      <w:r w:rsidR="00DB6534" w:rsidRPr="004452F5">
        <w:rPr>
          <w:rFonts w:ascii="Gill Sans MT" w:hAnsi="Gill Sans MT"/>
        </w:rPr>
        <w:t xml:space="preserve"> (6).</w:t>
      </w:r>
    </w:p>
    <w:p w14:paraId="155F4918" w14:textId="7ECE9E84" w:rsidR="00520C9E" w:rsidRPr="004452F5" w:rsidRDefault="00DB6534" w:rsidP="008E4300">
      <w:pPr>
        <w:spacing w:after="0" w:line="240" w:lineRule="auto"/>
        <w:ind w:firstLine="720"/>
        <w:contextualSpacing/>
        <w:jc w:val="both"/>
        <w:rPr>
          <w:rFonts w:ascii="Gill Sans MT" w:hAnsi="Gill Sans MT"/>
        </w:rPr>
      </w:pPr>
      <w:r w:rsidRPr="004452F5">
        <w:rPr>
          <w:rFonts w:ascii="Gill Sans MT" w:hAnsi="Gill Sans MT"/>
        </w:rPr>
        <w:t xml:space="preserve">Zengin distinguishes ‘violent intimacies’ from ‘intimate violence’, arguing that </w:t>
      </w:r>
      <w:r w:rsidR="004452F5">
        <w:rPr>
          <w:rFonts w:ascii="Gill Sans MT" w:hAnsi="Gill Sans MT"/>
        </w:rPr>
        <w:t>‘</w:t>
      </w:r>
      <w:r w:rsidRPr="004452F5">
        <w:rPr>
          <w:rFonts w:ascii="Gill Sans MT" w:hAnsi="Gill Sans MT"/>
        </w:rPr>
        <w:t xml:space="preserve">violent intimacies </w:t>
      </w:r>
      <w:r w:rsidR="003F22C0" w:rsidRPr="004452F5">
        <w:rPr>
          <w:rFonts w:ascii="Gill Sans MT" w:hAnsi="Gill Sans MT"/>
        </w:rPr>
        <w:t>centres</w:t>
      </w:r>
      <w:r w:rsidRPr="004452F5">
        <w:rPr>
          <w:rFonts w:ascii="Gill Sans MT" w:hAnsi="Gill Sans MT"/>
        </w:rPr>
        <w:t xml:space="preserve"> on the formation, organisation, and circulation of intimacy through violence and hence encourages readers to rethink the very notion of intimacy itself</w:t>
      </w:r>
      <w:r w:rsidR="004452F5">
        <w:rPr>
          <w:rFonts w:ascii="Gill Sans MT" w:hAnsi="Gill Sans MT"/>
        </w:rPr>
        <w:t>’</w:t>
      </w:r>
      <w:r w:rsidRPr="004452F5">
        <w:rPr>
          <w:rFonts w:ascii="Gill Sans MT" w:hAnsi="Gill Sans MT"/>
        </w:rPr>
        <w:t xml:space="preserve"> (8). The author supports this distinction through both her theoretical engagements with intimacy, affective and physical proximity, and embodiment</w:t>
      </w:r>
      <w:r w:rsidR="007860F0">
        <w:rPr>
          <w:rFonts w:ascii="Gill Sans MT" w:hAnsi="Gill Sans MT"/>
        </w:rPr>
        <w:t>;</w:t>
      </w:r>
      <w:r w:rsidRPr="004452F5">
        <w:rPr>
          <w:rFonts w:ascii="Gill Sans MT" w:hAnsi="Gill Sans MT"/>
        </w:rPr>
        <w:t xml:space="preserve"> and</w:t>
      </w:r>
      <w:r w:rsidR="00C02204" w:rsidRPr="004452F5">
        <w:rPr>
          <w:rFonts w:ascii="Gill Sans MT" w:hAnsi="Gill Sans MT"/>
        </w:rPr>
        <w:t xml:space="preserve"> </w:t>
      </w:r>
      <w:r w:rsidRPr="004452F5">
        <w:rPr>
          <w:rFonts w:ascii="Gill Sans MT" w:hAnsi="Gill Sans MT"/>
        </w:rPr>
        <w:t xml:space="preserve">through the evocative accounts of </w:t>
      </w:r>
      <w:r w:rsidR="00C02204" w:rsidRPr="004452F5">
        <w:rPr>
          <w:rFonts w:ascii="Gill Sans MT" w:hAnsi="Gill Sans MT"/>
        </w:rPr>
        <w:t>transgender individuals</w:t>
      </w:r>
      <w:r w:rsidRPr="004452F5">
        <w:rPr>
          <w:rFonts w:ascii="Gill Sans MT" w:hAnsi="Gill Sans MT"/>
        </w:rPr>
        <w:t xml:space="preserve">. The rest of the book is organised by concepts as follows: (1) displacement as emplacement, (2) </w:t>
      </w:r>
      <w:proofErr w:type="spellStart"/>
      <w:r w:rsidRPr="004452F5">
        <w:rPr>
          <w:rFonts w:ascii="Gill Sans MT" w:hAnsi="Gill Sans MT"/>
        </w:rPr>
        <w:t>extralegality</w:t>
      </w:r>
      <w:proofErr w:type="spellEnd"/>
      <w:r w:rsidRPr="004452F5">
        <w:rPr>
          <w:rFonts w:ascii="Gill Sans MT" w:hAnsi="Gill Sans MT"/>
        </w:rPr>
        <w:t xml:space="preserve">, surveillance, </w:t>
      </w:r>
      <w:r w:rsidR="00B34BBC">
        <w:rPr>
          <w:rFonts w:ascii="Gill Sans MT" w:hAnsi="Gill Sans MT"/>
        </w:rPr>
        <w:t>and</w:t>
      </w:r>
      <w:r w:rsidRPr="004452F5">
        <w:rPr>
          <w:rFonts w:ascii="Gill Sans MT" w:hAnsi="Gill Sans MT"/>
        </w:rPr>
        <w:t xml:space="preserve"> police violence, (3) psychiatric demarcations of sex/gender, (4) touch, gaze, </w:t>
      </w:r>
      <w:r w:rsidR="00B34BBC">
        <w:rPr>
          <w:rFonts w:ascii="Gill Sans MT" w:hAnsi="Gill Sans MT"/>
        </w:rPr>
        <w:t>and</w:t>
      </w:r>
      <w:r w:rsidRPr="004452F5">
        <w:rPr>
          <w:rFonts w:ascii="Gill Sans MT" w:hAnsi="Gill Sans MT"/>
        </w:rPr>
        <w:t xml:space="preserve"> the </w:t>
      </w:r>
      <w:proofErr w:type="spellStart"/>
      <w:r w:rsidRPr="004452F5">
        <w:rPr>
          <w:rFonts w:ascii="Gill Sans MT" w:hAnsi="Gill Sans MT"/>
        </w:rPr>
        <w:t>heteropenetrative</w:t>
      </w:r>
      <w:proofErr w:type="spellEnd"/>
      <w:r w:rsidRPr="004452F5">
        <w:rPr>
          <w:rFonts w:ascii="Gill Sans MT" w:hAnsi="Gill Sans MT"/>
        </w:rPr>
        <w:t xml:space="preserve"> state, (5) justice, criminal law, </w:t>
      </w:r>
      <w:r w:rsidR="00B34BBC">
        <w:rPr>
          <w:rFonts w:ascii="Gill Sans MT" w:hAnsi="Gill Sans MT"/>
        </w:rPr>
        <w:t>and</w:t>
      </w:r>
      <w:r w:rsidRPr="004452F5">
        <w:rPr>
          <w:rFonts w:ascii="Gill Sans MT" w:hAnsi="Gill Sans MT"/>
        </w:rPr>
        <w:t xml:space="preserve"> trans femicides, and (6) funerals </w:t>
      </w:r>
      <w:r w:rsidR="00CF339B">
        <w:rPr>
          <w:rFonts w:ascii="Gill Sans MT" w:hAnsi="Gill Sans MT"/>
        </w:rPr>
        <w:t>and</w:t>
      </w:r>
      <w:r w:rsidRPr="004452F5">
        <w:rPr>
          <w:rFonts w:ascii="Gill Sans MT" w:hAnsi="Gill Sans MT"/>
        </w:rPr>
        <w:t xml:space="preserve"> experiments with trans kin. </w:t>
      </w:r>
    </w:p>
    <w:p w14:paraId="1E2046B8" w14:textId="3A164E42" w:rsidR="00520C9E" w:rsidRPr="004452F5" w:rsidRDefault="008602A9" w:rsidP="008E4300">
      <w:pPr>
        <w:spacing w:after="0" w:line="240" w:lineRule="auto"/>
        <w:ind w:firstLine="720"/>
        <w:contextualSpacing/>
        <w:jc w:val="both"/>
        <w:rPr>
          <w:rFonts w:ascii="Gill Sans MT" w:hAnsi="Gill Sans MT"/>
        </w:rPr>
      </w:pPr>
      <w:r w:rsidRPr="004452F5">
        <w:rPr>
          <w:rFonts w:ascii="Gill Sans MT" w:hAnsi="Gill Sans MT"/>
        </w:rPr>
        <w:t xml:space="preserve">The description of the geographical spaces used every day by transgender individuals, or </w:t>
      </w:r>
      <w:proofErr w:type="spellStart"/>
      <w:r w:rsidRPr="004452F5">
        <w:rPr>
          <w:rFonts w:ascii="Gill Sans MT" w:hAnsi="Gill Sans MT"/>
          <w:i/>
          <w:iCs/>
        </w:rPr>
        <w:t>lubunya</w:t>
      </w:r>
      <w:proofErr w:type="spellEnd"/>
      <w:r w:rsidRPr="004452F5">
        <w:rPr>
          <w:rFonts w:ascii="Gill Sans MT" w:hAnsi="Gill Sans MT"/>
        </w:rPr>
        <w:t xml:space="preserve">, is the focus of the first chapter and crucially lays out the neighbourhoods and streets where </w:t>
      </w:r>
      <w:proofErr w:type="spellStart"/>
      <w:r w:rsidRPr="004452F5">
        <w:rPr>
          <w:rFonts w:ascii="Gill Sans MT" w:hAnsi="Gill Sans MT"/>
          <w:i/>
          <w:iCs/>
        </w:rPr>
        <w:t>lubunyalar</w:t>
      </w:r>
      <w:proofErr w:type="spellEnd"/>
      <w:r w:rsidRPr="004452F5">
        <w:rPr>
          <w:rFonts w:ascii="Gill Sans MT" w:hAnsi="Gill Sans MT"/>
        </w:rPr>
        <w:t xml:space="preserve"> were able </w:t>
      </w:r>
      <w:r w:rsidR="0070522B" w:rsidRPr="004452F5">
        <w:rPr>
          <w:rFonts w:ascii="Gill Sans MT" w:hAnsi="Gill Sans MT"/>
        </w:rPr>
        <w:t xml:space="preserve">to find work, homes </w:t>
      </w:r>
      <w:r w:rsidR="00C02204" w:rsidRPr="004452F5">
        <w:rPr>
          <w:rFonts w:ascii="Gill Sans MT" w:hAnsi="Gill Sans MT"/>
        </w:rPr>
        <w:t>and a sense of community</w:t>
      </w:r>
      <w:r w:rsidRPr="004452F5">
        <w:rPr>
          <w:rFonts w:ascii="Gill Sans MT" w:hAnsi="Gill Sans MT"/>
        </w:rPr>
        <w:t xml:space="preserve">. Although Zengin’s addition of the historical changes </w:t>
      </w:r>
      <w:r w:rsidR="0070522B" w:rsidRPr="004452F5">
        <w:rPr>
          <w:rFonts w:ascii="Gill Sans MT" w:hAnsi="Gill Sans MT"/>
        </w:rPr>
        <w:t xml:space="preserve">different Istanbul neighbourhoods have undergone is significant to mark when and where the </w:t>
      </w:r>
      <w:proofErr w:type="spellStart"/>
      <w:r w:rsidR="0070522B" w:rsidRPr="004452F5">
        <w:rPr>
          <w:rFonts w:ascii="Gill Sans MT" w:hAnsi="Gill Sans MT"/>
          <w:i/>
          <w:iCs/>
        </w:rPr>
        <w:t>lubunyalar</w:t>
      </w:r>
      <w:proofErr w:type="spellEnd"/>
      <w:r w:rsidR="0070522B" w:rsidRPr="004452F5">
        <w:rPr>
          <w:rFonts w:ascii="Gill Sans MT" w:hAnsi="Gill Sans MT"/>
        </w:rPr>
        <w:t xml:space="preserve"> she speaks with ha</w:t>
      </w:r>
      <w:r w:rsidR="004025B4">
        <w:rPr>
          <w:rFonts w:ascii="Gill Sans MT" w:hAnsi="Gill Sans MT"/>
        </w:rPr>
        <w:t>ve</w:t>
      </w:r>
      <w:r w:rsidR="0070522B" w:rsidRPr="004452F5">
        <w:rPr>
          <w:rFonts w:ascii="Gill Sans MT" w:hAnsi="Gill Sans MT"/>
        </w:rPr>
        <w:t xml:space="preserve"> been displaced or emplaced, it is sometimes</w:t>
      </w:r>
      <w:r w:rsidRPr="004452F5">
        <w:rPr>
          <w:rFonts w:ascii="Gill Sans MT" w:hAnsi="Gill Sans MT"/>
        </w:rPr>
        <w:t xml:space="preserve"> difficult to </w:t>
      </w:r>
      <w:r w:rsidR="00C02204" w:rsidRPr="004452F5">
        <w:rPr>
          <w:rFonts w:ascii="Gill Sans MT" w:hAnsi="Gill Sans MT"/>
        </w:rPr>
        <w:t>imagine or follow</w:t>
      </w:r>
      <w:r w:rsidRPr="004452F5">
        <w:rPr>
          <w:rFonts w:ascii="Gill Sans MT" w:hAnsi="Gill Sans MT"/>
        </w:rPr>
        <w:t xml:space="preserve">. This would likely be of no issue for a reader familiar with Istanbul, but for other audiences, the chapter would benefit </w:t>
      </w:r>
      <w:r w:rsidR="0070522B" w:rsidRPr="004452F5">
        <w:rPr>
          <w:rFonts w:ascii="Gill Sans MT" w:hAnsi="Gill Sans MT"/>
        </w:rPr>
        <w:t>from</w:t>
      </w:r>
      <w:r w:rsidRPr="004452F5">
        <w:rPr>
          <w:rFonts w:ascii="Gill Sans MT" w:hAnsi="Gill Sans MT"/>
        </w:rPr>
        <w:t xml:space="preserve"> more maps, photos, or illustrations to communicate place.</w:t>
      </w:r>
    </w:p>
    <w:p w14:paraId="7ACEC7DB" w14:textId="4DADAE32" w:rsidR="00520C9E" w:rsidRPr="004452F5" w:rsidRDefault="00C02204" w:rsidP="008E4300">
      <w:pPr>
        <w:spacing w:after="0" w:line="240" w:lineRule="auto"/>
        <w:ind w:firstLine="720"/>
        <w:contextualSpacing/>
        <w:jc w:val="both"/>
        <w:rPr>
          <w:rFonts w:ascii="Gill Sans MT" w:hAnsi="Gill Sans MT"/>
        </w:rPr>
      </w:pPr>
      <w:r w:rsidRPr="004452F5">
        <w:rPr>
          <w:rFonts w:ascii="Gill Sans MT" w:hAnsi="Gill Sans MT"/>
        </w:rPr>
        <w:lastRenderedPageBreak/>
        <w:t>F</w:t>
      </w:r>
      <w:r w:rsidR="00EE336A" w:rsidRPr="004452F5">
        <w:rPr>
          <w:rFonts w:ascii="Gill Sans MT" w:hAnsi="Gill Sans MT"/>
        </w:rPr>
        <w:t>ollowing the movement of trans women through these neighbourhoods, especially Beyo</w:t>
      </w:r>
      <w:r w:rsidR="002063B1" w:rsidRPr="000E4D9D">
        <w:rPr>
          <w:rFonts w:ascii="Calibri" w:hAnsi="Calibri" w:cs="Calibri"/>
        </w:rPr>
        <w:t>ğ</w:t>
      </w:r>
      <w:r w:rsidR="00EE336A" w:rsidRPr="004452F5">
        <w:rPr>
          <w:rFonts w:ascii="Gill Sans MT" w:hAnsi="Gill Sans MT"/>
        </w:rPr>
        <w:t xml:space="preserve">lu, establishes the </w:t>
      </w:r>
      <w:r w:rsidR="00627E00" w:rsidRPr="004452F5">
        <w:rPr>
          <w:rFonts w:ascii="Gill Sans MT" w:hAnsi="Gill Sans MT"/>
        </w:rPr>
        <w:t>methods by which networks and ‘safe’ spaces are cultivated.</w:t>
      </w:r>
      <w:r w:rsidR="00EE336A" w:rsidRPr="004452F5">
        <w:rPr>
          <w:rFonts w:ascii="Gill Sans MT" w:hAnsi="Gill Sans MT"/>
        </w:rPr>
        <w:t xml:space="preserve"> </w:t>
      </w:r>
      <w:r w:rsidR="00627E00" w:rsidRPr="004452F5">
        <w:rPr>
          <w:rFonts w:ascii="Gill Sans MT" w:hAnsi="Gill Sans MT"/>
        </w:rPr>
        <w:t xml:space="preserve">Importantly, Zengin </w:t>
      </w:r>
      <w:r w:rsidR="007F2CAF" w:rsidRPr="004452F5">
        <w:rPr>
          <w:rFonts w:ascii="Gill Sans MT" w:hAnsi="Gill Sans MT"/>
        </w:rPr>
        <w:t>argues that</w:t>
      </w:r>
      <w:r w:rsidR="00627E00" w:rsidRPr="004452F5">
        <w:rPr>
          <w:rFonts w:ascii="Gill Sans MT" w:hAnsi="Gill Sans MT"/>
        </w:rPr>
        <w:t xml:space="preserve"> </w:t>
      </w:r>
      <w:r w:rsidR="004452F5">
        <w:rPr>
          <w:rFonts w:ascii="Gill Sans MT" w:hAnsi="Gill Sans MT"/>
        </w:rPr>
        <w:t>‘</w:t>
      </w:r>
      <w:r w:rsidR="00627E00" w:rsidRPr="004452F5">
        <w:rPr>
          <w:rFonts w:ascii="Gill Sans MT" w:hAnsi="Gill Sans MT"/>
        </w:rPr>
        <w:t xml:space="preserve">the presence of this place </w:t>
      </w:r>
      <w:r w:rsidR="007F2CAF" w:rsidRPr="004452F5">
        <w:rPr>
          <w:rFonts w:ascii="Gill Sans MT" w:hAnsi="Gill Sans MT"/>
        </w:rPr>
        <w:t>[Beyo</w:t>
      </w:r>
      <w:r w:rsidR="002063B1" w:rsidRPr="000E4D9D">
        <w:rPr>
          <w:rFonts w:ascii="Calibri" w:hAnsi="Calibri" w:cs="Calibri"/>
        </w:rPr>
        <w:t>ğ</w:t>
      </w:r>
      <w:r w:rsidR="007F2CAF" w:rsidRPr="004452F5">
        <w:rPr>
          <w:rFonts w:ascii="Gill Sans MT" w:hAnsi="Gill Sans MT"/>
        </w:rPr>
        <w:t xml:space="preserve">lu] </w:t>
      </w:r>
      <w:r w:rsidR="00627E00" w:rsidRPr="004452F5">
        <w:rPr>
          <w:rFonts w:ascii="Gill Sans MT" w:hAnsi="Gill Sans MT"/>
        </w:rPr>
        <w:t>has been essential to the reproduction of a sense of trans communality</w:t>
      </w:r>
      <w:r w:rsidR="004452F5">
        <w:rPr>
          <w:rFonts w:ascii="Gill Sans MT" w:hAnsi="Gill Sans MT"/>
        </w:rPr>
        <w:t>’</w:t>
      </w:r>
      <w:r w:rsidR="00627E00" w:rsidRPr="004452F5">
        <w:rPr>
          <w:rFonts w:ascii="Gill Sans MT" w:hAnsi="Gill Sans MT"/>
        </w:rPr>
        <w:t xml:space="preserve"> and that even with multiple displacements </w:t>
      </w:r>
      <w:r w:rsidR="004452F5">
        <w:rPr>
          <w:rFonts w:ascii="Gill Sans MT" w:hAnsi="Gill Sans MT"/>
        </w:rPr>
        <w:t>‘</w:t>
      </w:r>
      <w:r w:rsidR="00627E00" w:rsidRPr="004452F5">
        <w:rPr>
          <w:rFonts w:ascii="Gill Sans MT" w:hAnsi="Gill Sans MT"/>
        </w:rPr>
        <w:t>trans people succeeded in establishing a form of emplacement by founding Istanbul LGBTT [a trans majority LGBTI+ organisation] and creating an intimate space of proximity with and for one another</w:t>
      </w:r>
      <w:r w:rsidR="004452F5">
        <w:rPr>
          <w:rFonts w:ascii="Gill Sans MT" w:hAnsi="Gill Sans MT"/>
        </w:rPr>
        <w:t>’</w:t>
      </w:r>
      <w:r w:rsidR="00627E00" w:rsidRPr="004452F5">
        <w:rPr>
          <w:rFonts w:ascii="Gill Sans MT" w:hAnsi="Gill Sans MT"/>
        </w:rPr>
        <w:t xml:space="preserve"> (65).</w:t>
      </w:r>
    </w:p>
    <w:p w14:paraId="1F5B43A4" w14:textId="788C8A7B" w:rsidR="00520C9E" w:rsidRPr="004452F5" w:rsidRDefault="004C2B70" w:rsidP="008E4300">
      <w:pPr>
        <w:spacing w:after="0" w:line="240" w:lineRule="auto"/>
        <w:ind w:firstLine="720"/>
        <w:contextualSpacing/>
        <w:jc w:val="both"/>
        <w:rPr>
          <w:rFonts w:ascii="Gill Sans MT" w:hAnsi="Gill Sans MT"/>
        </w:rPr>
      </w:pPr>
      <w:r w:rsidRPr="004452F5">
        <w:rPr>
          <w:rFonts w:ascii="Gill Sans MT" w:hAnsi="Gill Sans MT"/>
        </w:rPr>
        <w:t xml:space="preserve">Violence faced by police and government interventions </w:t>
      </w:r>
      <w:r w:rsidR="00A7240C" w:rsidRPr="004452F5">
        <w:rPr>
          <w:rFonts w:ascii="Gill Sans MT" w:hAnsi="Gill Sans MT"/>
        </w:rPr>
        <w:t>is</w:t>
      </w:r>
      <w:r w:rsidRPr="004452F5">
        <w:rPr>
          <w:rFonts w:ascii="Gill Sans MT" w:hAnsi="Gill Sans MT"/>
        </w:rPr>
        <w:t xml:space="preserve"> the focus of chapters two and three, including how discriminatory attitudes towards transgressive genders and sexualities are medicalised.</w:t>
      </w:r>
      <w:r w:rsidR="00000FF3" w:rsidRPr="004452F5">
        <w:rPr>
          <w:rFonts w:ascii="Gill Sans MT" w:hAnsi="Gill Sans MT"/>
        </w:rPr>
        <w:t xml:space="preserve"> Chapter two’s emphasis on surveillance uses examples of the fines trans people were subject to through the </w:t>
      </w:r>
      <w:r w:rsidR="00A7240C" w:rsidRPr="004452F5">
        <w:rPr>
          <w:rFonts w:ascii="Gill Sans MT" w:hAnsi="Gill Sans MT"/>
        </w:rPr>
        <w:t>hidden</w:t>
      </w:r>
      <w:r w:rsidR="006139C5" w:rsidRPr="004452F5">
        <w:rPr>
          <w:rFonts w:ascii="Gill Sans MT" w:hAnsi="Gill Sans MT"/>
        </w:rPr>
        <w:t xml:space="preserve"> </w:t>
      </w:r>
      <w:r w:rsidR="00000FF3" w:rsidRPr="004452F5">
        <w:rPr>
          <w:rFonts w:ascii="Gill Sans MT" w:hAnsi="Gill Sans MT"/>
        </w:rPr>
        <w:t>‘bonus system’ where different categories of crimes w</w:t>
      </w:r>
      <w:r w:rsidR="006139C5" w:rsidRPr="004452F5">
        <w:rPr>
          <w:rFonts w:ascii="Gill Sans MT" w:hAnsi="Gill Sans MT"/>
        </w:rPr>
        <w:t xml:space="preserve">ould </w:t>
      </w:r>
      <w:r w:rsidR="00000FF3" w:rsidRPr="004452F5">
        <w:rPr>
          <w:rFonts w:ascii="Gill Sans MT" w:hAnsi="Gill Sans MT"/>
        </w:rPr>
        <w:t>offer different point</w:t>
      </w:r>
      <w:r w:rsidR="00C02204" w:rsidRPr="004452F5">
        <w:rPr>
          <w:rFonts w:ascii="Gill Sans MT" w:hAnsi="Gill Sans MT"/>
        </w:rPr>
        <w:t>s to police officers</w:t>
      </w:r>
      <w:r w:rsidR="00000FF3" w:rsidRPr="004452F5">
        <w:rPr>
          <w:rFonts w:ascii="Gill Sans MT" w:hAnsi="Gill Sans MT"/>
        </w:rPr>
        <w:t xml:space="preserve">. Through the categories of </w:t>
      </w:r>
      <w:proofErr w:type="spellStart"/>
      <w:r w:rsidR="00000FF3" w:rsidRPr="004452F5">
        <w:rPr>
          <w:rFonts w:ascii="Gill Sans MT" w:hAnsi="Gill Sans MT"/>
          <w:i/>
          <w:iCs/>
        </w:rPr>
        <w:t>travesti</w:t>
      </w:r>
      <w:proofErr w:type="spellEnd"/>
      <w:r w:rsidR="00000FF3" w:rsidRPr="004452F5">
        <w:rPr>
          <w:rFonts w:ascii="Gill Sans MT" w:hAnsi="Gill Sans MT"/>
          <w:i/>
          <w:iCs/>
        </w:rPr>
        <w:t xml:space="preserve"> </w:t>
      </w:r>
      <w:r w:rsidR="00000FF3" w:rsidRPr="004452F5">
        <w:rPr>
          <w:rFonts w:ascii="Gill Sans MT" w:hAnsi="Gill Sans MT"/>
        </w:rPr>
        <w:t xml:space="preserve">(transvestite) and </w:t>
      </w:r>
      <w:proofErr w:type="spellStart"/>
      <w:r w:rsidR="00000FF3" w:rsidRPr="004452F5">
        <w:rPr>
          <w:rFonts w:ascii="Gill Sans MT" w:hAnsi="Gill Sans MT"/>
          <w:i/>
          <w:iCs/>
        </w:rPr>
        <w:t>bilinen</w:t>
      </w:r>
      <w:proofErr w:type="spellEnd"/>
      <w:r w:rsidR="00000FF3" w:rsidRPr="004452F5">
        <w:rPr>
          <w:rFonts w:ascii="Gill Sans MT" w:hAnsi="Gill Sans MT"/>
          <w:i/>
          <w:iCs/>
        </w:rPr>
        <w:t xml:space="preserve"> bayan</w:t>
      </w:r>
      <w:r w:rsidR="00000FF3" w:rsidRPr="004452F5">
        <w:rPr>
          <w:rFonts w:ascii="Gill Sans MT" w:hAnsi="Gill Sans MT"/>
        </w:rPr>
        <w:t xml:space="preserve"> (the known lady) trans women became specific targets as police attempted to decrease sex work on the streets. This</w:t>
      </w:r>
      <w:r w:rsidR="00C02204" w:rsidRPr="004452F5">
        <w:rPr>
          <w:rFonts w:ascii="Gill Sans MT" w:hAnsi="Gill Sans MT"/>
        </w:rPr>
        <w:t xml:space="preserve"> </w:t>
      </w:r>
      <w:r w:rsidR="006139C5" w:rsidRPr="004452F5">
        <w:rPr>
          <w:rFonts w:ascii="Gill Sans MT" w:hAnsi="Gill Sans MT"/>
        </w:rPr>
        <w:t>forced</w:t>
      </w:r>
      <w:r w:rsidR="00000FF3" w:rsidRPr="004452F5">
        <w:rPr>
          <w:rFonts w:ascii="Gill Sans MT" w:hAnsi="Gill Sans MT"/>
        </w:rPr>
        <w:t xml:space="preserve"> trans women to engage in even more sex work </w:t>
      </w:r>
      <w:r w:rsidR="006139C5" w:rsidRPr="004452F5">
        <w:rPr>
          <w:rFonts w:ascii="Gill Sans MT" w:hAnsi="Gill Sans MT"/>
        </w:rPr>
        <w:t>to</w:t>
      </w:r>
      <w:r w:rsidR="00000FF3" w:rsidRPr="004452F5">
        <w:rPr>
          <w:rFonts w:ascii="Gill Sans MT" w:hAnsi="Gill Sans MT"/>
        </w:rPr>
        <w:t xml:space="preserve"> pay the fines. </w:t>
      </w:r>
      <w:r w:rsidR="00C02204" w:rsidRPr="004452F5">
        <w:rPr>
          <w:rFonts w:ascii="Gill Sans MT" w:hAnsi="Gill Sans MT"/>
        </w:rPr>
        <w:t>Zengin</w:t>
      </w:r>
      <w:r w:rsidR="00000FF3" w:rsidRPr="004452F5">
        <w:rPr>
          <w:rFonts w:ascii="Gill Sans MT" w:hAnsi="Gill Sans MT"/>
        </w:rPr>
        <w:t xml:space="preserve"> sets this system of punishment within ‘the logic of hypervisibility’ wherein trans women are </w:t>
      </w:r>
      <w:r w:rsidR="004452F5">
        <w:rPr>
          <w:rFonts w:ascii="Gill Sans MT" w:hAnsi="Gill Sans MT"/>
        </w:rPr>
        <w:t>‘</w:t>
      </w:r>
      <w:r w:rsidR="00000FF3" w:rsidRPr="004452F5">
        <w:rPr>
          <w:rFonts w:ascii="Gill Sans MT" w:hAnsi="Gill Sans MT"/>
        </w:rPr>
        <w:t>intensely visible as objects of police force and public gaze, while rendering them intensely invisible as ordinary subjects in everyday life</w:t>
      </w:r>
      <w:r w:rsidR="004452F5">
        <w:rPr>
          <w:rFonts w:ascii="Gill Sans MT" w:hAnsi="Gill Sans MT"/>
        </w:rPr>
        <w:t>’</w:t>
      </w:r>
      <w:r w:rsidR="00000FF3" w:rsidRPr="004452F5">
        <w:rPr>
          <w:rFonts w:ascii="Gill Sans MT" w:hAnsi="Gill Sans MT"/>
        </w:rPr>
        <w:t xml:space="preserve"> (93).</w:t>
      </w:r>
    </w:p>
    <w:p w14:paraId="2DEA95E3" w14:textId="232BE98F" w:rsidR="00520C9E" w:rsidRPr="004452F5" w:rsidRDefault="00C02204" w:rsidP="008E4300">
      <w:pPr>
        <w:spacing w:after="0" w:line="240" w:lineRule="auto"/>
        <w:ind w:firstLine="720"/>
        <w:contextualSpacing/>
        <w:jc w:val="both"/>
        <w:rPr>
          <w:rFonts w:ascii="Gill Sans MT" w:hAnsi="Gill Sans MT"/>
        </w:rPr>
      </w:pPr>
      <w:r w:rsidRPr="004452F5">
        <w:rPr>
          <w:rFonts w:ascii="Gill Sans MT" w:hAnsi="Gill Sans MT"/>
        </w:rPr>
        <w:t>For Zengin, ‘h</w:t>
      </w:r>
      <w:r w:rsidR="006139C5" w:rsidRPr="004452F5">
        <w:rPr>
          <w:rFonts w:ascii="Gill Sans MT" w:hAnsi="Gill Sans MT"/>
        </w:rPr>
        <w:t>ypervisibility</w:t>
      </w:r>
      <w:r w:rsidR="00520C9E" w:rsidRPr="004452F5">
        <w:rPr>
          <w:rFonts w:ascii="Gill Sans MT" w:hAnsi="Gill Sans MT"/>
        </w:rPr>
        <w:t>’</w:t>
      </w:r>
      <w:r w:rsidR="006139C5" w:rsidRPr="004452F5">
        <w:rPr>
          <w:rFonts w:ascii="Gill Sans MT" w:hAnsi="Gill Sans MT"/>
        </w:rPr>
        <w:t xml:space="preserve"> is a concept interwoven with the violence and intimacy of transgender lives. It extends into the efforts of </w:t>
      </w:r>
      <w:proofErr w:type="spellStart"/>
      <w:r w:rsidR="006139C5" w:rsidRPr="004452F5">
        <w:rPr>
          <w:rFonts w:ascii="Gill Sans MT" w:hAnsi="Gill Sans MT"/>
          <w:i/>
          <w:iCs/>
        </w:rPr>
        <w:t>lubunya</w:t>
      </w:r>
      <w:proofErr w:type="spellEnd"/>
      <w:r w:rsidR="006139C5" w:rsidRPr="004452F5">
        <w:rPr>
          <w:rFonts w:ascii="Gill Sans MT" w:hAnsi="Gill Sans MT"/>
        </w:rPr>
        <w:t xml:space="preserve"> who wish to be legally recognised as their gender identity, which requires psychiatric sessions and medical surgeries.</w:t>
      </w:r>
      <w:r w:rsidR="00A87C36" w:rsidRPr="004452F5">
        <w:rPr>
          <w:rFonts w:ascii="Gill Sans MT" w:hAnsi="Gill Sans MT"/>
        </w:rPr>
        <w:t xml:space="preserve"> The third chapter creatively introduces anecdotes from medical professionals who presided over the state-mandated grou</w:t>
      </w:r>
      <w:r w:rsidRPr="004452F5">
        <w:rPr>
          <w:rFonts w:ascii="Gill Sans MT" w:hAnsi="Gill Sans MT"/>
        </w:rPr>
        <w:t>p psychiatric</w:t>
      </w:r>
      <w:r w:rsidR="00A87C36" w:rsidRPr="004452F5">
        <w:rPr>
          <w:rFonts w:ascii="Gill Sans MT" w:hAnsi="Gill Sans MT"/>
        </w:rPr>
        <w:t xml:space="preserve"> sessions and from </w:t>
      </w:r>
      <w:proofErr w:type="spellStart"/>
      <w:r w:rsidR="00A87C36" w:rsidRPr="00EC5D9D">
        <w:rPr>
          <w:rFonts w:ascii="Gill Sans MT" w:hAnsi="Gill Sans MT"/>
          <w:i/>
          <w:iCs/>
        </w:rPr>
        <w:t>l</w:t>
      </w:r>
      <w:r w:rsidR="00A87C36" w:rsidRPr="004452F5">
        <w:rPr>
          <w:rFonts w:ascii="Gill Sans MT" w:hAnsi="Gill Sans MT"/>
          <w:i/>
          <w:iCs/>
        </w:rPr>
        <w:t>ubunya</w:t>
      </w:r>
      <w:proofErr w:type="spellEnd"/>
      <w:r w:rsidR="00A87C36" w:rsidRPr="004452F5">
        <w:rPr>
          <w:rFonts w:ascii="Gill Sans MT" w:hAnsi="Gill Sans MT"/>
        </w:rPr>
        <w:t xml:space="preserve"> who experienced them</w:t>
      </w:r>
      <w:r w:rsidRPr="004452F5">
        <w:rPr>
          <w:rFonts w:ascii="Gill Sans MT" w:hAnsi="Gill Sans MT"/>
        </w:rPr>
        <w:t>.</w:t>
      </w:r>
      <w:r w:rsidR="003079D2" w:rsidRPr="004452F5">
        <w:rPr>
          <w:rFonts w:ascii="Gill Sans MT" w:hAnsi="Gill Sans MT"/>
        </w:rPr>
        <w:t xml:space="preserve"> By showing</w:t>
      </w:r>
      <w:r w:rsidRPr="004452F5">
        <w:rPr>
          <w:rFonts w:ascii="Gill Sans MT" w:hAnsi="Gill Sans MT"/>
        </w:rPr>
        <w:t xml:space="preserve"> parallel</w:t>
      </w:r>
      <w:r w:rsidR="003079D2" w:rsidRPr="004452F5">
        <w:rPr>
          <w:rFonts w:ascii="Gill Sans MT" w:hAnsi="Gill Sans MT"/>
        </w:rPr>
        <w:t xml:space="preserve"> perspectives of the psychiatric sessions and examinations required by </w:t>
      </w:r>
      <w:proofErr w:type="spellStart"/>
      <w:r w:rsidR="003079D2" w:rsidRPr="004452F5">
        <w:rPr>
          <w:rFonts w:ascii="Gill Sans MT" w:hAnsi="Gill Sans MT"/>
          <w:i/>
          <w:iCs/>
        </w:rPr>
        <w:t>lubunya</w:t>
      </w:r>
      <w:proofErr w:type="spellEnd"/>
      <w:r w:rsidR="003079D2" w:rsidRPr="004452F5">
        <w:rPr>
          <w:rFonts w:ascii="Gill Sans MT" w:hAnsi="Gill Sans MT"/>
        </w:rPr>
        <w:t xml:space="preserve"> to prove their ‘true’</w:t>
      </w:r>
      <w:r w:rsidR="00A7240C" w:rsidRPr="004452F5">
        <w:rPr>
          <w:rFonts w:ascii="Gill Sans MT" w:hAnsi="Gill Sans MT"/>
        </w:rPr>
        <w:t xml:space="preserve"> </w:t>
      </w:r>
      <w:r w:rsidR="003079D2" w:rsidRPr="004452F5">
        <w:rPr>
          <w:rFonts w:ascii="Gill Sans MT" w:hAnsi="Gill Sans MT"/>
        </w:rPr>
        <w:t>sex/gender, Zengin</w:t>
      </w:r>
      <w:r w:rsidR="002B68B4" w:rsidRPr="004452F5">
        <w:rPr>
          <w:rFonts w:ascii="Gill Sans MT" w:hAnsi="Gill Sans MT"/>
        </w:rPr>
        <w:t xml:space="preserve"> more accurately illustrates the situation for readers, even those who have no prior knowledge of these topics.</w:t>
      </w:r>
      <w:r w:rsidR="00A87C36" w:rsidRPr="004452F5">
        <w:rPr>
          <w:rFonts w:ascii="Gill Sans MT" w:hAnsi="Gill Sans MT"/>
        </w:rPr>
        <w:t xml:space="preserve"> </w:t>
      </w:r>
    </w:p>
    <w:p w14:paraId="34DE29B9" w14:textId="4CDB32F6" w:rsidR="00520C9E" w:rsidRPr="004452F5" w:rsidRDefault="00A7240C" w:rsidP="008E4300">
      <w:pPr>
        <w:spacing w:after="0" w:line="240" w:lineRule="auto"/>
        <w:ind w:firstLine="720"/>
        <w:contextualSpacing/>
        <w:jc w:val="both"/>
        <w:rPr>
          <w:rFonts w:ascii="Gill Sans MT" w:hAnsi="Gill Sans MT"/>
        </w:rPr>
      </w:pPr>
      <w:r w:rsidRPr="004452F5">
        <w:rPr>
          <w:rFonts w:ascii="Gill Sans MT" w:hAnsi="Gill Sans MT"/>
        </w:rPr>
        <w:t>Chapters four and five continue the themes of surveillance, hypervisibility, and legitimacy by describing the requirements for genitals trans people must have and the lack of punishment for the murder of trans people, especially trans women.</w:t>
      </w:r>
      <w:r w:rsidR="00C90E01" w:rsidRPr="004452F5">
        <w:rPr>
          <w:rFonts w:ascii="Gill Sans MT" w:hAnsi="Gill Sans MT"/>
        </w:rPr>
        <w:t xml:space="preserve"> Ze</w:t>
      </w:r>
      <w:r w:rsidR="00727491" w:rsidRPr="004452F5">
        <w:rPr>
          <w:rFonts w:ascii="Gill Sans MT" w:hAnsi="Gill Sans MT"/>
        </w:rPr>
        <w:t>ngin</w:t>
      </w:r>
      <w:r w:rsidR="00C90E01" w:rsidRPr="004452F5">
        <w:rPr>
          <w:rFonts w:ascii="Gill Sans MT" w:hAnsi="Gill Sans MT"/>
        </w:rPr>
        <w:t xml:space="preserve"> describes the experiences of trans women who underwent surgeries requiring a penetrable vagina </w:t>
      </w:r>
      <w:r w:rsidR="004E0F6B" w:rsidRPr="004452F5">
        <w:rPr>
          <w:rFonts w:ascii="Gill Sans MT" w:hAnsi="Gill Sans MT"/>
        </w:rPr>
        <w:t>to meet</w:t>
      </w:r>
      <w:r w:rsidR="00C90E01" w:rsidRPr="004452F5">
        <w:rPr>
          <w:rFonts w:ascii="Gill Sans MT" w:hAnsi="Gill Sans MT"/>
        </w:rPr>
        <w:t xml:space="preserve"> the requirements of the state, analysing how </w:t>
      </w:r>
      <w:r w:rsidR="004452F5">
        <w:rPr>
          <w:rFonts w:ascii="Gill Sans MT" w:hAnsi="Gill Sans MT"/>
        </w:rPr>
        <w:t>‘</w:t>
      </w:r>
      <w:r w:rsidR="00C90E01" w:rsidRPr="004452F5">
        <w:rPr>
          <w:rFonts w:ascii="Gill Sans MT" w:hAnsi="Gill Sans MT"/>
        </w:rPr>
        <w:t>touch and tac</w:t>
      </w:r>
      <w:r w:rsidR="00B008A3" w:rsidRPr="004452F5">
        <w:rPr>
          <w:rFonts w:ascii="Gill Sans MT" w:hAnsi="Gill Sans MT"/>
        </w:rPr>
        <w:t>ti</w:t>
      </w:r>
      <w:r w:rsidR="00C90E01" w:rsidRPr="004452F5">
        <w:rPr>
          <w:rFonts w:ascii="Gill Sans MT" w:hAnsi="Gill Sans MT"/>
        </w:rPr>
        <w:t>l</w:t>
      </w:r>
      <w:r w:rsidR="00B008A3" w:rsidRPr="004452F5">
        <w:rPr>
          <w:rFonts w:ascii="Gill Sans MT" w:hAnsi="Gill Sans MT"/>
        </w:rPr>
        <w:t>it</w:t>
      </w:r>
      <w:r w:rsidR="00C90E01" w:rsidRPr="004452F5">
        <w:rPr>
          <w:rFonts w:ascii="Gill Sans MT" w:hAnsi="Gill Sans MT"/>
        </w:rPr>
        <w:t>y operate as political tools</w:t>
      </w:r>
      <w:r w:rsidR="004452F5">
        <w:rPr>
          <w:rFonts w:ascii="Gill Sans MT" w:hAnsi="Gill Sans MT"/>
        </w:rPr>
        <w:t>’</w:t>
      </w:r>
      <w:r w:rsidR="00C90E01" w:rsidRPr="004452F5">
        <w:rPr>
          <w:rFonts w:ascii="Gill Sans MT" w:hAnsi="Gill Sans MT"/>
        </w:rPr>
        <w:t xml:space="preserve"> (131). The construction of biological sex via touch and gaze are vital elements to Ze</w:t>
      </w:r>
      <w:r w:rsidR="00727491" w:rsidRPr="004452F5">
        <w:rPr>
          <w:rFonts w:ascii="Gill Sans MT" w:hAnsi="Gill Sans MT"/>
        </w:rPr>
        <w:t>ngi</w:t>
      </w:r>
      <w:r w:rsidR="00C90E01" w:rsidRPr="004452F5">
        <w:rPr>
          <w:rFonts w:ascii="Gill Sans MT" w:hAnsi="Gill Sans MT"/>
        </w:rPr>
        <w:t>n’s argument and the brief chapter is a perfect companion to the previous one about psychiatric evaluations of transness.</w:t>
      </w:r>
      <w:r w:rsidR="004E0F6B" w:rsidRPr="004452F5">
        <w:rPr>
          <w:rFonts w:ascii="Gill Sans MT" w:hAnsi="Gill Sans MT"/>
        </w:rPr>
        <w:t xml:space="preserve"> The hate crimes against trans people analysed in chapter five introduce how the acceptance of violence towards minority groups based </w:t>
      </w:r>
      <w:r w:rsidR="00B008A3" w:rsidRPr="004452F5">
        <w:rPr>
          <w:rFonts w:ascii="Gill Sans MT" w:hAnsi="Gill Sans MT"/>
        </w:rPr>
        <w:t>on</w:t>
      </w:r>
      <w:r w:rsidR="004E0F6B" w:rsidRPr="004452F5">
        <w:rPr>
          <w:rFonts w:ascii="Gill Sans MT" w:hAnsi="Gill Sans MT"/>
        </w:rPr>
        <w:t xml:space="preserve"> categorisation as ‘</w:t>
      </w:r>
      <w:r w:rsidR="00B008A3" w:rsidRPr="004452F5">
        <w:rPr>
          <w:rFonts w:ascii="Gill Sans MT" w:hAnsi="Gill Sans MT"/>
        </w:rPr>
        <w:t>honour</w:t>
      </w:r>
      <w:r w:rsidR="004E0F6B" w:rsidRPr="004452F5">
        <w:rPr>
          <w:rFonts w:ascii="Gill Sans MT" w:hAnsi="Gill Sans MT"/>
        </w:rPr>
        <w:t xml:space="preserve"> crimes’ or ‘crimes of tradition’ upholds the cultural norms of a </w:t>
      </w:r>
      <w:proofErr w:type="spellStart"/>
      <w:r w:rsidR="004E0F6B" w:rsidRPr="004452F5">
        <w:rPr>
          <w:rFonts w:ascii="Gill Sans MT" w:hAnsi="Gill Sans MT"/>
        </w:rPr>
        <w:t>cisheteronormative</w:t>
      </w:r>
      <w:proofErr w:type="spellEnd"/>
      <w:r w:rsidR="004E0F6B" w:rsidRPr="004452F5">
        <w:rPr>
          <w:rFonts w:ascii="Gill Sans MT" w:hAnsi="Gill Sans MT"/>
        </w:rPr>
        <w:t xml:space="preserve"> state and</w:t>
      </w:r>
      <w:r w:rsidR="00B008A3" w:rsidRPr="004452F5">
        <w:rPr>
          <w:rFonts w:ascii="Gill Sans MT" w:hAnsi="Gill Sans MT"/>
        </w:rPr>
        <w:t xml:space="preserve"> permit</w:t>
      </w:r>
      <w:r w:rsidR="00A60E35">
        <w:rPr>
          <w:rFonts w:ascii="Gill Sans MT" w:hAnsi="Gill Sans MT"/>
        </w:rPr>
        <w:t>s</w:t>
      </w:r>
      <w:r w:rsidR="00B008A3" w:rsidRPr="004452F5">
        <w:rPr>
          <w:rFonts w:ascii="Gill Sans MT" w:hAnsi="Gill Sans MT"/>
        </w:rPr>
        <w:t xml:space="preserve"> defences such as ‘unjust provocations’ to limit the sentences of those who harm LGBTI+ individuals</w:t>
      </w:r>
      <w:r w:rsidR="00C02204" w:rsidRPr="004452F5">
        <w:rPr>
          <w:rFonts w:ascii="Gill Sans MT" w:hAnsi="Gill Sans MT"/>
        </w:rPr>
        <w:t xml:space="preserve"> (157)</w:t>
      </w:r>
      <w:r w:rsidR="00B008A3" w:rsidRPr="004452F5">
        <w:rPr>
          <w:rFonts w:ascii="Gill Sans MT" w:hAnsi="Gill Sans MT"/>
        </w:rPr>
        <w:t>.</w:t>
      </w:r>
    </w:p>
    <w:p w14:paraId="5C20FABB" w14:textId="20CF315D" w:rsidR="00520C9E" w:rsidRPr="004452F5" w:rsidRDefault="00F405D3" w:rsidP="008E4300">
      <w:pPr>
        <w:spacing w:after="0" w:line="240" w:lineRule="auto"/>
        <w:ind w:firstLine="720"/>
        <w:contextualSpacing/>
        <w:jc w:val="both"/>
        <w:rPr>
          <w:rFonts w:ascii="Gill Sans MT" w:hAnsi="Gill Sans MT"/>
        </w:rPr>
      </w:pPr>
      <w:r w:rsidRPr="004452F5">
        <w:rPr>
          <w:rFonts w:ascii="Gill Sans MT" w:hAnsi="Gill Sans MT"/>
        </w:rPr>
        <w:t xml:space="preserve">The final chapter brings the readers full circle with the funeral of a trans woman named Sibel which was described in the introduction. Through more personal anecdotes and several photographs from the field, Zengin discusses how </w:t>
      </w:r>
      <w:proofErr w:type="spellStart"/>
      <w:r w:rsidRPr="004452F5">
        <w:rPr>
          <w:rFonts w:ascii="Gill Sans MT" w:hAnsi="Gill Sans MT"/>
          <w:i/>
          <w:iCs/>
        </w:rPr>
        <w:t>lubunya</w:t>
      </w:r>
      <w:proofErr w:type="spellEnd"/>
      <w:r w:rsidRPr="004452F5">
        <w:rPr>
          <w:rFonts w:ascii="Gill Sans MT" w:hAnsi="Gill Sans MT"/>
        </w:rPr>
        <w:t xml:space="preserve"> communities often struggle to organise a funeral which permits trans kin to be laid to rest recognised as the gender they chose to live as. The concept of ‘trans kin’ is vital for this chapter and </w:t>
      </w:r>
      <w:r w:rsidR="00727491" w:rsidRPr="004452F5">
        <w:rPr>
          <w:rFonts w:ascii="Gill Sans MT" w:hAnsi="Gill Sans MT"/>
        </w:rPr>
        <w:t>understanding</w:t>
      </w:r>
      <w:r w:rsidRPr="004452F5">
        <w:rPr>
          <w:rFonts w:ascii="Gill Sans MT" w:hAnsi="Gill Sans MT"/>
        </w:rPr>
        <w:t xml:space="preserve"> themes of belonging, communality, and place-making throughout the monograph. Many </w:t>
      </w:r>
      <w:proofErr w:type="spellStart"/>
      <w:r w:rsidRPr="004452F5">
        <w:rPr>
          <w:rFonts w:ascii="Gill Sans MT" w:hAnsi="Gill Sans MT"/>
          <w:i/>
          <w:iCs/>
        </w:rPr>
        <w:t>lubunyalar</w:t>
      </w:r>
      <w:proofErr w:type="spellEnd"/>
      <w:r w:rsidRPr="004452F5">
        <w:rPr>
          <w:rFonts w:ascii="Gill Sans MT" w:hAnsi="Gill Sans MT"/>
        </w:rPr>
        <w:t xml:space="preserve"> are concerned about how they will be remembered after death, including whether they will be remembered at all. Some </w:t>
      </w:r>
      <w:proofErr w:type="spellStart"/>
      <w:r w:rsidRPr="004452F5">
        <w:rPr>
          <w:rFonts w:ascii="Gill Sans MT" w:hAnsi="Gill Sans MT"/>
          <w:i/>
          <w:iCs/>
        </w:rPr>
        <w:t>lubunya</w:t>
      </w:r>
      <w:proofErr w:type="spellEnd"/>
      <w:r w:rsidRPr="004452F5">
        <w:rPr>
          <w:rFonts w:ascii="Gill Sans MT" w:hAnsi="Gill Sans MT"/>
        </w:rPr>
        <w:t xml:space="preserve"> whose bodies are claimed by their blood relatives are buried in cemeteries for the </w:t>
      </w:r>
      <w:r w:rsidR="00727491" w:rsidRPr="004452F5">
        <w:rPr>
          <w:rFonts w:ascii="Gill Sans MT" w:hAnsi="Gill Sans MT"/>
        </w:rPr>
        <w:t>unknown</w:t>
      </w:r>
      <w:r w:rsidRPr="004452F5">
        <w:rPr>
          <w:rFonts w:ascii="Gill Sans MT" w:hAnsi="Gill Sans MT"/>
        </w:rPr>
        <w:t xml:space="preserve"> (</w:t>
      </w:r>
      <w:proofErr w:type="spellStart"/>
      <w:r w:rsidRPr="004452F5">
        <w:rPr>
          <w:rFonts w:ascii="Gill Sans MT" w:hAnsi="Gill Sans MT"/>
          <w:i/>
          <w:iCs/>
        </w:rPr>
        <w:t>kimsesiz</w:t>
      </w:r>
      <w:proofErr w:type="spellEnd"/>
      <w:r w:rsidRPr="004452F5">
        <w:rPr>
          <w:rFonts w:ascii="Gill Sans MT" w:hAnsi="Gill Sans MT"/>
        </w:rPr>
        <w:t xml:space="preserve">). </w:t>
      </w:r>
      <w:r w:rsidR="00727491" w:rsidRPr="004452F5">
        <w:rPr>
          <w:rFonts w:ascii="Gill Sans MT" w:hAnsi="Gill Sans MT"/>
        </w:rPr>
        <w:t>D</w:t>
      </w:r>
      <w:r w:rsidRPr="004452F5">
        <w:rPr>
          <w:rFonts w:ascii="Gill Sans MT" w:hAnsi="Gill Sans MT"/>
        </w:rPr>
        <w:t>ue to both their transness and their occupation as sex workers</w:t>
      </w:r>
      <w:r w:rsidR="00727491" w:rsidRPr="004452F5">
        <w:rPr>
          <w:rFonts w:ascii="Gill Sans MT" w:hAnsi="Gill Sans MT"/>
        </w:rPr>
        <w:t xml:space="preserve">, </w:t>
      </w:r>
      <w:r w:rsidRPr="004452F5">
        <w:rPr>
          <w:rFonts w:ascii="Gill Sans MT" w:hAnsi="Gill Sans MT"/>
        </w:rPr>
        <w:t xml:space="preserve">blood family </w:t>
      </w:r>
      <w:r w:rsidR="00727491" w:rsidRPr="004452F5">
        <w:rPr>
          <w:rFonts w:ascii="Gill Sans MT" w:hAnsi="Gill Sans MT"/>
        </w:rPr>
        <w:t xml:space="preserve">may </w:t>
      </w:r>
      <w:r w:rsidRPr="004452F5">
        <w:rPr>
          <w:rFonts w:ascii="Gill Sans MT" w:hAnsi="Gill Sans MT"/>
        </w:rPr>
        <w:t>literally and figuratively bury their trans kin. Zengin engages with the notion of</w:t>
      </w:r>
      <w:r w:rsidR="00520C9E" w:rsidRPr="004452F5">
        <w:rPr>
          <w:rFonts w:ascii="Gill Sans MT" w:hAnsi="Gill Sans MT"/>
        </w:rPr>
        <w:t xml:space="preserve"> these acts</w:t>
      </w:r>
      <w:r w:rsidR="00727491" w:rsidRPr="004452F5">
        <w:rPr>
          <w:rFonts w:ascii="Gill Sans MT" w:hAnsi="Gill Sans MT"/>
        </w:rPr>
        <w:t xml:space="preserve"> as</w:t>
      </w:r>
      <w:r w:rsidR="00520C9E" w:rsidRPr="004452F5">
        <w:rPr>
          <w:rFonts w:ascii="Gill Sans MT" w:hAnsi="Gill Sans MT"/>
        </w:rPr>
        <w:t xml:space="preserve"> </w:t>
      </w:r>
      <w:r w:rsidR="004452F5">
        <w:rPr>
          <w:rFonts w:ascii="Gill Sans MT" w:hAnsi="Gill Sans MT"/>
        </w:rPr>
        <w:t>‘</w:t>
      </w:r>
      <w:r w:rsidR="00520C9E" w:rsidRPr="004452F5">
        <w:rPr>
          <w:rFonts w:ascii="Gill Sans MT" w:hAnsi="Gill Sans MT"/>
        </w:rPr>
        <w:t>killing a person even beyond their physical death</w:t>
      </w:r>
      <w:r w:rsidR="004452F5">
        <w:rPr>
          <w:rFonts w:ascii="Gill Sans MT" w:hAnsi="Gill Sans MT"/>
        </w:rPr>
        <w:t>’</w:t>
      </w:r>
      <w:r w:rsidR="00520C9E" w:rsidRPr="004452F5">
        <w:rPr>
          <w:rFonts w:ascii="Gill Sans MT" w:hAnsi="Gill Sans MT"/>
        </w:rPr>
        <w:t xml:space="preserve"> and suggests that </w:t>
      </w:r>
      <w:r w:rsidR="004452F5">
        <w:rPr>
          <w:rFonts w:ascii="Gill Sans MT" w:hAnsi="Gill Sans MT"/>
        </w:rPr>
        <w:t>‘</w:t>
      </w:r>
      <w:r w:rsidR="00520C9E" w:rsidRPr="004452F5">
        <w:rPr>
          <w:rFonts w:ascii="Gill Sans MT" w:hAnsi="Gill Sans MT"/>
        </w:rPr>
        <w:t>the blood family can be one of the most violent sovereign models of intimacy, a deadly one, in fact</w:t>
      </w:r>
      <w:r w:rsidR="004452F5">
        <w:rPr>
          <w:rFonts w:ascii="Gill Sans MT" w:hAnsi="Gill Sans MT"/>
        </w:rPr>
        <w:t>’</w:t>
      </w:r>
      <w:r w:rsidR="00520C9E" w:rsidRPr="004452F5">
        <w:rPr>
          <w:rFonts w:ascii="Gill Sans MT" w:hAnsi="Gill Sans MT"/>
        </w:rPr>
        <w:t xml:space="preserve"> (189).</w:t>
      </w:r>
    </w:p>
    <w:p w14:paraId="7A2EAF97" w14:textId="1FF870D6" w:rsidR="00520C9E" w:rsidRPr="004452F5" w:rsidRDefault="00520C9E" w:rsidP="008E4300">
      <w:pPr>
        <w:spacing w:after="0" w:line="240" w:lineRule="auto"/>
        <w:ind w:firstLine="720"/>
        <w:contextualSpacing/>
        <w:jc w:val="both"/>
        <w:rPr>
          <w:rFonts w:ascii="Gill Sans MT" w:hAnsi="Gill Sans MT"/>
        </w:rPr>
      </w:pPr>
      <w:r w:rsidRPr="004452F5">
        <w:rPr>
          <w:rFonts w:ascii="Gill Sans MT" w:hAnsi="Gill Sans MT"/>
        </w:rPr>
        <w:lastRenderedPageBreak/>
        <w:t xml:space="preserve">However, </w:t>
      </w:r>
      <w:r w:rsidR="00A60E35" w:rsidRPr="004452F5">
        <w:rPr>
          <w:rFonts w:ascii="Gill Sans MT" w:hAnsi="Gill Sans MT"/>
        </w:rPr>
        <w:t>Asl</w:t>
      </w:r>
      <w:r w:rsidR="00A60E35">
        <w:rPr>
          <w:rFonts w:ascii="Gill Sans MT" w:hAnsi="Gill Sans MT"/>
        </w:rPr>
        <w:t>ı</w:t>
      </w:r>
      <w:r w:rsidR="00A60E35" w:rsidRPr="004452F5">
        <w:rPr>
          <w:rFonts w:ascii="Gill Sans MT" w:hAnsi="Gill Sans MT"/>
        </w:rPr>
        <w:t xml:space="preserve"> </w:t>
      </w:r>
      <w:r w:rsidRPr="004452F5">
        <w:rPr>
          <w:rFonts w:ascii="Gill Sans MT" w:hAnsi="Gill Sans MT"/>
        </w:rPr>
        <w:t xml:space="preserve">Zengin does not depict any group </w:t>
      </w:r>
      <w:r w:rsidR="00727491" w:rsidRPr="004452F5">
        <w:rPr>
          <w:rFonts w:ascii="Gill Sans MT" w:hAnsi="Gill Sans MT"/>
        </w:rPr>
        <w:t>in her monograph</w:t>
      </w:r>
      <w:r w:rsidRPr="004452F5">
        <w:rPr>
          <w:rFonts w:ascii="Gill Sans MT" w:hAnsi="Gill Sans MT"/>
        </w:rPr>
        <w:t xml:space="preserve"> as </w:t>
      </w:r>
      <w:r w:rsidR="00727491" w:rsidRPr="004452F5">
        <w:rPr>
          <w:rFonts w:ascii="Gill Sans MT" w:hAnsi="Gill Sans MT"/>
        </w:rPr>
        <w:t xml:space="preserve">simply </w:t>
      </w:r>
      <w:r w:rsidRPr="004452F5">
        <w:rPr>
          <w:rFonts w:ascii="Gill Sans MT" w:hAnsi="Gill Sans MT"/>
        </w:rPr>
        <w:t>evil or ignorant, a</w:t>
      </w:r>
      <w:r w:rsidR="00727491" w:rsidRPr="004452F5">
        <w:rPr>
          <w:rFonts w:ascii="Gill Sans MT" w:hAnsi="Gill Sans MT"/>
        </w:rPr>
        <w:t>rguing</w:t>
      </w:r>
      <w:r w:rsidRPr="004452F5">
        <w:rPr>
          <w:rFonts w:ascii="Gill Sans MT" w:hAnsi="Gill Sans MT"/>
        </w:rPr>
        <w:t xml:space="preserve"> that it is institutional models and morals of gender, sexuality, and sex which largely determine the reactions of </w:t>
      </w:r>
      <w:proofErr w:type="spellStart"/>
      <w:r w:rsidRPr="004452F5">
        <w:rPr>
          <w:rFonts w:ascii="Gill Sans MT" w:hAnsi="Gill Sans MT"/>
          <w:i/>
          <w:iCs/>
        </w:rPr>
        <w:t>natrans</w:t>
      </w:r>
      <w:proofErr w:type="spellEnd"/>
      <w:r w:rsidRPr="004452F5">
        <w:rPr>
          <w:rFonts w:ascii="Gill Sans MT" w:hAnsi="Gill Sans MT"/>
        </w:rPr>
        <w:t xml:space="preserve"> (non-trans) Turkish citizens to the </w:t>
      </w:r>
      <w:proofErr w:type="spellStart"/>
      <w:r w:rsidRPr="004452F5">
        <w:rPr>
          <w:rFonts w:ascii="Gill Sans MT" w:hAnsi="Gill Sans MT"/>
          <w:i/>
          <w:iCs/>
        </w:rPr>
        <w:t>lubunyalar</w:t>
      </w:r>
      <w:proofErr w:type="spellEnd"/>
      <w:r w:rsidRPr="004452F5">
        <w:rPr>
          <w:rFonts w:ascii="Gill Sans MT" w:hAnsi="Gill Sans MT"/>
        </w:rPr>
        <w:t xml:space="preserve">. She ends on a bittersweet note about the dissolution of Istanbul LGBTT </w:t>
      </w:r>
      <w:r w:rsidR="00FD1D50" w:rsidRPr="004452F5">
        <w:rPr>
          <w:rFonts w:ascii="Gill Sans MT" w:hAnsi="Gill Sans MT"/>
        </w:rPr>
        <w:t xml:space="preserve">and a description of </w:t>
      </w:r>
      <w:r w:rsidRPr="004452F5">
        <w:rPr>
          <w:rFonts w:ascii="Gill Sans MT" w:hAnsi="Gill Sans MT"/>
        </w:rPr>
        <w:t xml:space="preserve">what has happened to her </w:t>
      </w:r>
      <w:r w:rsidR="00727491" w:rsidRPr="004452F5">
        <w:rPr>
          <w:rFonts w:ascii="Gill Sans MT" w:hAnsi="Gill Sans MT"/>
        </w:rPr>
        <w:t>interlocutors</w:t>
      </w:r>
      <w:r w:rsidRPr="004452F5">
        <w:rPr>
          <w:rFonts w:ascii="Gill Sans MT" w:hAnsi="Gill Sans MT"/>
        </w:rPr>
        <w:t xml:space="preserve"> in the years since her fieldwork, including the reality that she has lost contact with man</w:t>
      </w:r>
      <w:r w:rsidR="00727491" w:rsidRPr="004452F5">
        <w:rPr>
          <w:rFonts w:ascii="Gill Sans MT" w:hAnsi="Gill Sans MT"/>
        </w:rPr>
        <w:t>y</w:t>
      </w:r>
      <w:r w:rsidRPr="004452F5">
        <w:rPr>
          <w:rFonts w:ascii="Gill Sans MT" w:hAnsi="Gill Sans MT"/>
        </w:rPr>
        <w:t>.</w:t>
      </w:r>
    </w:p>
    <w:p w14:paraId="25A96D1D" w14:textId="5AF68F58" w:rsidR="00520C9E" w:rsidRPr="004452F5" w:rsidRDefault="00520C9E" w:rsidP="008E4300">
      <w:pPr>
        <w:spacing w:after="0" w:line="240" w:lineRule="auto"/>
        <w:ind w:firstLine="720"/>
        <w:contextualSpacing/>
        <w:jc w:val="both"/>
        <w:rPr>
          <w:rFonts w:ascii="Gill Sans MT" w:hAnsi="Gill Sans MT"/>
        </w:rPr>
      </w:pPr>
      <w:r w:rsidRPr="004452F5">
        <w:rPr>
          <w:rFonts w:ascii="Gill Sans MT" w:hAnsi="Gill Sans MT"/>
        </w:rPr>
        <w:t xml:space="preserve">With a tremendous amount of care and sensitivity, Zengin writes about the recent histories of </w:t>
      </w:r>
      <w:proofErr w:type="spellStart"/>
      <w:r w:rsidRPr="004452F5">
        <w:rPr>
          <w:rFonts w:ascii="Gill Sans MT" w:hAnsi="Gill Sans MT"/>
          <w:i/>
          <w:iCs/>
        </w:rPr>
        <w:t>lubunyalar</w:t>
      </w:r>
      <w:proofErr w:type="spellEnd"/>
      <w:r w:rsidRPr="004452F5">
        <w:rPr>
          <w:rFonts w:ascii="Gill Sans MT" w:hAnsi="Gill Sans MT"/>
        </w:rPr>
        <w:t>, and, although the first third of the book is sometimes too dense for non-specialists, the majority reads</w:t>
      </w:r>
      <w:r w:rsidR="00727491" w:rsidRPr="004452F5">
        <w:rPr>
          <w:rFonts w:ascii="Gill Sans MT" w:hAnsi="Gill Sans MT"/>
        </w:rPr>
        <w:t xml:space="preserve"> clearly and expertly</w:t>
      </w:r>
      <w:r w:rsidRPr="004452F5">
        <w:rPr>
          <w:rFonts w:ascii="Gill Sans MT" w:hAnsi="Gill Sans MT"/>
        </w:rPr>
        <w:t xml:space="preserve">. I expect this monograph will </w:t>
      </w:r>
      <w:r w:rsidR="00727491" w:rsidRPr="004452F5">
        <w:rPr>
          <w:rFonts w:ascii="Gill Sans MT" w:hAnsi="Gill Sans MT"/>
        </w:rPr>
        <w:t>become</w:t>
      </w:r>
      <w:r w:rsidRPr="004452F5">
        <w:rPr>
          <w:rFonts w:ascii="Gill Sans MT" w:hAnsi="Gill Sans MT"/>
        </w:rPr>
        <w:t xml:space="preserve"> a suitable touchstone for many scholars researching trans</w:t>
      </w:r>
      <w:r w:rsidR="00727491" w:rsidRPr="004452F5">
        <w:rPr>
          <w:rFonts w:ascii="Gill Sans MT" w:hAnsi="Gill Sans MT"/>
        </w:rPr>
        <w:t>gender issues</w:t>
      </w:r>
      <w:r w:rsidRPr="004452F5">
        <w:rPr>
          <w:rFonts w:ascii="Gill Sans MT" w:hAnsi="Gill Sans MT"/>
        </w:rPr>
        <w:t xml:space="preserve">, </w:t>
      </w:r>
      <w:r w:rsidR="00727491" w:rsidRPr="004452F5">
        <w:rPr>
          <w:rFonts w:ascii="Gill Sans MT" w:hAnsi="Gill Sans MT"/>
        </w:rPr>
        <w:t xml:space="preserve">various types of </w:t>
      </w:r>
      <w:r w:rsidRPr="004452F5">
        <w:rPr>
          <w:rFonts w:ascii="Gill Sans MT" w:hAnsi="Gill Sans MT"/>
        </w:rPr>
        <w:t>violence and intimacy, and the complexities of visibility.</w:t>
      </w:r>
    </w:p>
    <w:p w14:paraId="47E41050" w14:textId="77777777" w:rsidR="004452F5" w:rsidRDefault="004452F5" w:rsidP="008E4300">
      <w:pPr>
        <w:spacing w:after="0" w:line="240" w:lineRule="auto"/>
        <w:rPr>
          <w:rFonts w:ascii="Gill Sans MT" w:eastAsia="Calibri" w:hAnsi="Gill Sans MT" w:cs="Times New Roman"/>
          <w:noProof/>
        </w:rPr>
      </w:pPr>
    </w:p>
    <w:p w14:paraId="7B8D1F1A" w14:textId="77777777" w:rsidR="008E4300" w:rsidRPr="00C2513E" w:rsidRDefault="008E4300" w:rsidP="008E4300">
      <w:pPr>
        <w:spacing w:after="0" w:line="240" w:lineRule="auto"/>
        <w:rPr>
          <w:rFonts w:ascii="Gill Sans MT" w:eastAsia="Calibri" w:hAnsi="Gill Sans MT" w:cs="Times New Roman"/>
          <w:noProof/>
        </w:rPr>
      </w:pPr>
    </w:p>
    <w:p w14:paraId="1352AEC6" w14:textId="77777777" w:rsidR="004452F5" w:rsidRPr="00C2513E" w:rsidRDefault="004452F5" w:rsidP="008E4300">
      <w:pPr>
        <w:spacing w:after="0" w:line="240" w:lineRule="auto"/>
        <w:jc w:val="both"/>
        <w:rPr>
          <w:rFonts w:ascii="Gill Sans MT" w:eastAsia="PMingLiU" w:hAnsi="Gill Sans MT" w:cs="Arial"/>
          <w:lang w:eastAsia="zh-TW"/>
        </w:rPr>
      </w:pPr>
      <w:r w:rsidRPr="00C2513E">
        <w:rPr>
          <w:rFonts w:ascii="Gill Sans MT" w:eastAsia="PMingLiU" w:hAnsi="Gill Sans MT" w:cs="Arial"/>
          <w:noProof/>
          <w:lang w:val="en-US"/>
        </w:rPr>
        <mc:AlternateContent>
          <mc:Choice Requires="wps">
            <w:drawing>
              <wp:anchor distT="0" distB="0" distL="114300" distR="114300" simplePos="0" relativeHeight="251659264" behindDoc="0" locked="0" layoutInCell="1" allowOverlap="1" wp14:anchorId="4B2C91C4" wp14:editId="07E0DB68">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0565CA6E"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43FA456F" w14:textId="77777777" w:rsidR="008E4300" w:rsidRDefault="004452F5" w:rsidP="008E4300">
      <w:pPr>
        <w:spacing w:after="0" w:line="240" w:lineRule="auto"/>
        <w:jc w:val="both"/>
        <w:rPr>
          <w:rFonts w:ascii="Gill Sans MT" w:eastAsia="Gill Sans MT" w:hAnsi="Gill Sans MT" w:cs="Gill Sans MT"/>
          <w:color w:val="000000"/>
          <w:lang w:val="en-US"/>
        </w:rPr>
      </w:pPr>
      <w:r w:rsidRPr="00C2513E">
        <w:rPr>
          <w:rFonts w:ascii="Gill Sans MT" w:eastAsia="Gill Sans MT" w:hAnsi="Gill Sans MT" w:cs="Gill Sans MT"/>
          <w:color w:val="000000"/>
          <w:lang w:val="en-US"/>
        </w:rPr>
        <w:t xml:space="preserve">This work is copyright of the author. </w:t>
      </w:r>
    </w:p>
    <w:p w14:paraId="727A6EC2" w14:textId="77777777" w:rsidR="008E4300" w:rsidRDefault="008E4300" w:rsidP="008E4300">
      <w:pPr>
        <w:spacing w:after="0" w:line="240" w:lineRule="auto"/>
        <w:jc w:val="both"/>
        <w:rPr>
          <w:rFonts w:ascii="Gill Sans MT" w:eastAsia="Gill Sans MT" w:hAnsi="Gill Sans MT" w:cs="Gill Sans MT"/>
          <w:color w:val="000000"/>
          <w:lang w:val="en-US"/>
        </w:rPr>
      </w:pPr>
    </w:p>
    <w:p w14:paraId="0CFF0631" w14:textId="73467EC6" w:rsidR="00520C9E" w:rsidRDefault="004452F5" w:rsidP="008E4300">
      <w:pPr>
        <w:spacing w:after="0" w:line="240" w:lineRule="auto"/>
        <w:jc w:val="both"/>
      </w:pPr>
      <w:r w:rsidRPr="00C2513E">
        <w:rPr>
          <w:rFonts w:ascii="Gill Sans MT" w:eastAsia="Gill Sans MT" w:hAnsi="Gill Sans MT" w:cs="Gill Sans MT"/>
          <w:color w:val="000000"/>
          <w:lang w:val="en-US"/>
        </w:rPr>
        <w:t>It has been published by JASO under a Creative Commons Attribution-</w:t>
      </w:r>
      <w:proofErr w:type="spellStart"/>
      <w:r w:rsidRPr="00C2513E">
        <w:rPr>
          <w:rFonts w:ascii="Gill Sans MT" w:eastAsia="Gill Sans MT" w:hAnsi="Gill Sans MT" w:cs="Gill Sans MT"/>
          <w:color w:val="000000"/>
          <w:lang w:val="en-US"/>
        </w:rPr>
        <w:t>NonCommercial</w:t>
      </w:r>
      <w:proofErr w:type="spellEnd"/>
      <w:r w:rsidRPr="00C2513E">
        <w:rPr>
          <w:rFonts w:ascii="Gill Sans MT" w:eastAsia="Gill Sans MT" w:hAnsi="Gill Sans MT" w:cs="Gill Sans MT"/>
          <w:color w:val="000000"/>
          <w:lang w:val="en-US"/>
        </w:rPr>
        <w:t>-</w:t>
      </w:r>
      <w:proofErr w:type="spellStart"/>
      <w:r w:rsidRPr="00C2513E">
        <w:rPr>
          <w:rFonts w:ascii="Gill Sans MT" w:eastAsia="Gill Sans MT" w:hAnsi="Gill Sans MT" w:cs="Gill Sans MT"/>
          <w:color w:val="000000"/>
          <w:lang w:val="en-US"/>
        </w:rPr>
        <w:t>NonDerivatives</w:t>
      </w:r>
      <w:proofErr w:type="spellEnd"/>
      <w:r w:rsidRPr="00C2513E">
        <w:rPr>
          <w:rFonts w:ascii="Gill Sans MT" w:eastAsia="Gill Sans MT" w:hAnsi="Gill Sans MT" w:cs="Gill Sans MT"/>
          <w:color w:val="000000"/>
          <w:lang w:val="en-US"/>
        </w:rPr>
        <w:t xml:space="preserve"> </w:t>
      </w:r>
      <w:proofErr w:type="spellStart"/>
      <w:r w:rsidRPr="00C2513E">
        <w:rPr>
          <w:rFonts w:ascii="Gill Sans MT" w:eastAsia="Gill Sans MT" w:hAnsi="Gill Sans MT" w:cs="Gill Sans MT"/>
          <w:color w:val="000000"/>
          <w:lang w:val="en-US"/>
        </w:rPr>
        <w:t>ShareAlike</w:t>
      </w:r>
      <w:proofErr w:type="spellEnd"/>
      <w:r w:rsidRPr="00C2513E">
        <w:rPr>
          <w:rFonts w:ascii="Gill Sans MT" w:eastAsia="Gill Sans MT" w:hAnsi="Gill Sans MT" w:cs="Gill Sans MT"/>
          <w:color w:val="000000"/>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C2513E">
          <w:rPr>
            <w:rFonts w:ascii="Gill Sans MT" w:eastAsia="Calibri" w:hAnsi="Gill Sans MT" w:cs="Arial"/>
            <w:color w:val="0563C1"/>
            <w:u w:val="single"/>
          </w:rPr>
          <w:t>https://creativecommons.org/licenses/by-nc-nd/4.0/</w:t>
        </w:r>
      </w:hyperlink>
      <w:r w:rsidRPr="00C2513E">
        <w:rPr>
          <w:rFonts w:ascii="Gill Sans MT" w:eastAsia="Gill Sans MT" w:hAnsi="Gill Sans MT" w:cs="Gill Sans MT"/>
          <w:color w:val="000000"/>
          <w:lang w:val="en-US"/>
        </w:rPr>
        <w:t>)</w:t>
      </w:r>
    </w:p>
    <w:p w14:paraId="5A29BA6C" w14:textId="77777777" w:rsidR="008E4300" w:rsidRPr="008E4300" w:rsidRDefault="008E4300" w:rsidP="008E4300">
      <w:pPr>
        <w:spacing w:after="0" w:line="240" w:lineRule="auto"/>
        <w:jc w:val="both"/>
      </w:pPr>
    </w:p>
    <w:p w14:paraId="4FCC6E9F" w14:textId="0A862D4E" w:rsidR="00520C9E" w:rsidRPr="00F405D3" w:rsidRDefault="008E4300" w:rsidP="008E4300">
      <w:pPr>
        <w:spacing w:after="0" w:line="240" w:lineRule="auto"/>
        <w:jc w:val="center"/>
        <w:rPr>
          <w:rFonts w:ascii="Gill Sans MT" w:hAnsi="Gill Sans MT"/>
        </w:rPr>
      </w:pPr>
      <w:r w:rsidRPr="00C2513E">
        <w:rPr>
          <w:rFonts w:ascii="Gill Sans MT" w:eastAsia="MS Mincho" w:hAnsi="Gill Sans MT" w:cs="Arial"/>
          <w:noProof/>
          <w:lang w:val="en-US" w:eastAsia="zh-CN"/>
        </w:rPr>
        <w:drawing>
          <wp:inline distT="0" distB="0" distL="0" distR="0" wp14:anchorId="35CE31E6" wp14:editId="5FA367C5">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520C9E" w:rsidRPr="00F405D3" w:rsidSect="008E43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fmt="numberInDash" w:start="19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CBF7" w14:textId="77777777" w:rsidR="00235A9C" w:rsidRDefault="00235A9C" w:rsidP="00E945F3">
      <w:pPr>
        <w:spacing w:after="0" w:line="240" w:lineRule="auto"/>
      </w:pPr>
      <w:r>
        <w:separator/>
      </w:r>
    </w:p>
  </w:endnote>
  <w:endnote w:type="continuationSeparator" w:id="0">
    <w:p w14:paraId="0E7B09B5" w14:textId="77777777" w:rsidR="00235A9C" w:rsidRDefault="00235A9C" w:rsidP="00E9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2B4D" w14:textId="77777777" w:rsidR="008E4333" w:rsidRDefault="008E4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926726"/>
      <w:docPartObj>
        <w:docPartGallery w:val="Page Numbers (Bottom of Page)"/>
        <w:docPartUnique/>
      </w:docPartObj>
    </w:sdtPr>
    <w:sdtEndPr>
      <w:rPr>
        <w:noProof/>
      </w:rPr>
    </w:sdtEndPr>
    <w:sdtContent>
      <w:sdt>
        <w:sdtPr>
          <w:rPr>
            <w:rStyle w:val="PageNumber"/>
          </w:rPr>
          <w:id w:val="-1165321315"/>
          <w:showingPlcHdr/>
          <w:docPartObj>
            <w:docPartGallery w:val="Page Numbers (Bottom of Page)"/>
            <w:docPartUnique/>
          </w:docPartObj>
        </w:sdtPr>
        <w:sdtContent>
          <w:p w14:paraId="24C39274" w14:textId="77777777" w:rsidR="0027458D" w:rsidRDefault="0027458D" w:rsidP="0027458D">
            <w:pPr>
              <w:pStyle w:val="Footer"/>
              <w:framePr w:wrap="none" w:vAnchor="text" w:hAnchor="margin" w:xAlign="center" w:y="1"/>
              <w:rPr>
                <w:rStyle w:val="PageNumber"/>
                <w:noProof/>
              </w:rPr>
            </w:pPr>
            <w:r w:rsidRPr="6DB29C22">
              <w:rPr>
                <w:rStyle w:val="PageNumber"/>
              </w:rPr>
              <w:t xml:space="preserve">     </w:t>
            </w:r>
          </w:p>
        </w:sdtContent>
      </w:sdt>
      <w:sdt>
        <w:sdtPr>
          <w:rPr>
            <w:rFonts w:ascii="Gill Sans MT" w:hAnsi="Gill Sans MT"/>
          </w:rPr>
          <w:id w:val="1255787671"/>
          <w:docPartObj>
            <w:docPartGallery w:val="Page Numbers (Bottom of Page)"/>
            <w:docPartUnique/>
          </w:docPartObj>
        </w:sdtPr>
        <w:sdtEndPr>
          <w:rPr>
            <w:noProof/>
          </w:rPr>
        </w:sdtEndPr>
        <w:sdtContent>
          <w:p w14:paraId="2689C84A" w14:textId="00727E98" w:rsidR="00D72761" w:rsidRPr="0027458D" w:rsidRDefault="0027458D" w:rsidP="0027458D">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sdtContent>
  </w:sdt>
  <w:p w14:paraId="5E3CDCC5" w14:textId="77777777" w:rsidR="00D72761" w:rsidRDefault="00D7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4B48" w14:textId="77777777" w:rsidR="008E4333" w:rsidRDefault="008E4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23DF" w14:textId="77777777" w:rsidR="00235A9C" w:rsidRDefault="00235A9C" w:rsidP="00E945F3">
      <w:pPr>
        <w:spacing w:after="0" w:line="240" w:lineRule="auto"/>
      </w:pPr>
      <w:r>
        <w:separator/>
      </w:r>
    </w:p>
  </w:footnote>
  <w:footnote w:type="continuationSeparator" w:id="0">
    <w:p w14:paraId="4C14B433" w14:textId="77777777" w:rsidR="00235A9C" w:rsidRDefault="00235A9C" w:rsidP="00E945F3">
      <w:pPr>
        <w:spacing w:after="0" w:line="240" w:lineRule="auto"/>
      </w:pPr>
      <w:r>
        <w:continuationSeparator/>
      </w:r>
    </w:p>
  </w:footnote>
  <w:footnote w:id="1">
    <w:p w14:paraId="69E4F6C9" w14:textId="110B9B22" w:rsidR="00E945F3" w:rsidRPr="008E4333" w:rsidRDefault="00E945F3" w:rsidP="008E4333">
      <w:pPr>
        <w:pStyle w:val="FootnoteText"/>
        <w:jc w:val="both"/>
        <w:rPr>
          <w:rFonts w:ascii="Gill Sans MT" w:hAnsi="Gill Sans MT"/>
        </w:rPr>
      </w:pPr>
      <w:r w:rsidRPr="004452F5">
        <w:rPr>
          <w:rStyle w:val="FootnoteReference"/>
          <w:rFonts w:ascii="Gill Sans MT" w:hAnsi="Gill Sans MT"/>
        </w:rPr>
        <w:footnoteRef/>
      </w:r>
      <w:r w:rsidRPr="004452F5">
        <w:rPr>
          <w:rFonts w:ascii="Gill Sans MT" w:hAnsi="Gill Sans MT"/>
        </w:rPr>
        <w:t xml:space="preserve"> DPhil </w:t>
      </w:r>
      <w:r w:rsidR="008F7BB9">
        <w:rPr>
          <w:rFonts w:ascii="Gill Sans MT" w:hAnsi="Gill Sans MT"/>
        </w:rPr>
        <w:t xml:space="preserve">in </w:t>
      </w:r>
      <w:r w:rsidRPr="004452F5">
        <w:rPr>
          <w:rFonts w:ascii="Gill Sans MT" w:hAnsi="Gill Sans MT"/>
        </w:rPr>
        <w:t>Anthropology</w:t>
      </w:r>
      <w:r w:rsidR="008F7BB9">
        <w:rPr>
          <w:rFonts w:ascii="Gill Sans MT" w:hAnsi="Gill Sans MT"/>
        </w:rPr>
        <w:t>,</w:t>
      </w:r>
      <w:r w:rsidRPr="004452F5">
        <w:rPr>
          <w:rFonts w:ascii="Gill Sans MT" w:hAnsi="Gill Sans MT"/>
        </w:rPr>
        <w:t xml:space="preserve"> School of Anthropology </w:t>
      </w:r>
      <w:r w:rsidR="008F7BB9">
        <w:rPr>
          <w:rFonts w:ascii="Gill Sans MT" w:hAnsi="Gill Sans MT"/>
        </w:rPr>
        <w:t>and</w:t>
      </w:r>
      <w:r w:rsidRPr="004452F5">
        <w:rPr>
          <w:rFonts w:ascii="Gill Sans MT" w:hAnsi="Gill Sans MT"/>
        </w:rPr>
        <w:t xml:space="preserve"> Museum Ethnography, University of Oxford. Email: </w:t>
      </w:r>
      <w:hyperlink r:id="rId1" w:history="1">
        <w:r w:rsidRPr="004452F5">
          <w:rPr>
            <w:rStyle w:val="Hyperlink"/>
            <w:rFonts w:ascii="Gill Sans MT" w:hAnsi="Gill Sans MT"/>
          </w:rPr>
          <w:t>peyton.cherry@anthro.ox.ac.uk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4E2" w14:textId="77777777" w:rsidR="008E4333" w:rsidRDefault="008E4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4F17" w14:textId="4FAF05F8" w:rsidR="0027458D" w:rsidRPr="0027458D" w:rsidRDefault="0027458D" w:rsidP="0027458D">
    <w:pPr>
      <w:pStyle w:val="Header"/>
      <w:jc w:val="right"/>
      <w:rPr>
        <w:rFonts w:ascii="Gill Sans MT" w:hAnsi="Gill Sans MT"/>
        <w:i/>
        <w:iCs/>
      </w:rPr>
    </w:pPr>
    <w:r w:rsidRPr="0027458D">
      <w:rPr>
        <w:rFonts w:ascii="Gill Sans MT" w:hAnsi="Gill Sans MT"/>
        <w:i/>
        <w:iCs/>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B634" w14:textId="77777777" w:rsidR="008E4333" w:rsidRDefault="008E4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29"/>
    <w:rsid w:val="00000FF3"/>
    <w:rsid w:val="000C2457"/>
    <w:rsid w:val="000E4D9D"/>
    <w:rsid w:val="00187EC0"/>
    <w:rsid w:val="002063B1"/>
    <w:rsid w:val="00235A9C"/>
    <w:rsid w:val="00264029"/>
    <w:rsid w:val="0027458D"/>
    <w:rsid w:val="002B68B4"/>
    <w:rsid w:val="003079D2"/>
    <w:rsid w:val="00350E26"/>
    <w:rsid w:val="003F22C0"/>
    <w:rsid w:val="004025B4"/>
    <w:rsid w:val="004452F5"/>
    <w:rsid w:val="004C2B70"/>
    <w:rsid w:val="004E0F6B"/>
    <w:rsid w:val="00520C9E"/>
    <w:rsid w:val="00591FBB"/>
    <w:rsid w:val="00610558"/>
    <w:rsid w:val="006139C5"/>
    <w:rsid w:val="00627E00"/>
    <w:rsid w:val="0070522B"/>
    <w:rsid w:val="00727491"/>
    <w:rsid w:val="00735C47"/>
    <w:rsid w:val="007860F0"/>
    <w:rsid w:val="007F2CAF"/>
    <w:rsid w:val="008602A9"/>
    <w:rsid w:val="008B0CFA"/>
    <w:rsid w:val="008E4300"/>
    <w:rsid w:val="008E4333"/>
    <w:rsid w:val="008F7BB9"/>
    <w:rsid w:val="00992391"/>
    <w:rsid w:val="00A16BE3"/>
    <w:rsid w:val="00A44A73"/>
    <w:rsid w:val="00A60E35"/>
    <w:rsid w:val="00A7240C"/>
    <w:rsid w:val="00A7626E"/>
    <w:rsid w:val="00A77EFE"/>
    <w:rsid w:val="00A87C36"/>
    <w:rsid w:val="00AB5300"/>
    <w:rsid w:val="00AD247C"/>
    <w:rsid w:val="00B008A3"/>
    <w:rsid w:val="00B34BBC"/>
    <w:rsid w:val="00C02204"/>
    <w:rsid w:val="00C90E01"/>
    <w:rsid w:val="00CF339B"/>
    <w:rsid w:val="00D50785"/>
    <w:rsid w:val="00D72761"/>
    <w:rsid w:val="00DB5FBA"/>
    <w:rsid w:val="00DB6534"/>
    <w:rsid w:val="00E458EA"/>
    <w:rsid w:val="00E945F3"/>
    <w:rsid w:val="00EC5D9D"/>
    <w:rsid w:val="00EE336A"/>
    <w:rsid w:val="00F05E63"/>
    <w:rsid w:val="00F405D3"/>
    <w:rsid w:val="00FD1D50"/>
    <w:rsid w:val="14D905B1"/>
    <w:rsid w:val="2CE73B02"/>
    <w:rsid w:val="2D41C1B9"/>
    <w:rsid w:val="465647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BFD46"/>
  <w15:chartTrackingRefBased/>
  <w15:docId w15:val="{D8AC8BFA-0AC6-4BA4-80C1-F215CFC1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4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4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4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4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4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4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4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4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4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4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029"/>
    <w:rPr>
      <w:rFonts w:eastAsiaTheme="majorEastAsia" w:cstheme="majorBidi"/>
      <w:color w:val="272727" w:themeColor="text1" w:themeTint="D8"/>
    </w:rPr>
  </w:style>
  <w:style w:type="paragraph" w:styleId="Title">
    <w:name w:val="Title"/>
    <w:basedOn w:val="Normal"/>
    <w:next w:val="Normal"/>
    <w:link w:val="TitleChar"/>
    <w:uiPriority w:val="10"/>
    <w:qFormat/>
    <w:rsid w:val="00264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029"/>
    <w:pPr>
      <w:spacing w:before="160"/>
      <w:jc w:val="center"/>
    </w:pPr>
    <w:rPr>
      <w:i/>
      <w:iCs/>
      <w:color w:val="404040" w:themeColor="text1" w:themeTint="BF"/>
    </w:rPr>
  </w:style>
  <w:style w:type="character" w:customStyle="1" w:styleId="QuoteChar">
    <w:name w:val="Quote Char"/>
    <w:basedOn w:val="DefaultParagraphFont"/>
    <w:link w:val="Quote"/>
    <w:uiPriority w:val="29"/>
    <w:rsid w:val="00264029"/>
    <w:rPr>
      <w:i/>
      <w:iCs/>
      <w:color w:val="404040" w:themeColor="text1" w:themeTint="BF"/>
    </w:rPr>
  </w:style>
  <w:style w:type="paragraph" w:styleId="ListParagraph">
    <w:name w:val="List Paragraph"/>
    <w:basedOn w:val="Normal"/>
    <w:uiPriority w:val="34"/>
    <w:qFormat/>
    <w:rsid w:val="00264029"/>
    <w:pPr>
      <w:ind w:left="720"/>
      <w:contextualSpacing/>
    </w:pPr>
  </w:style>
  <w:style w:type="character" w:styleId="IntenseEmphasis">
    <w:name w:val="Intense Emphasis"/>
    <w:basedOn w:val="DefaultParagraphFont"/>
    <w:uiPriority w:val="21"/>
    <w:qFormat/>
    <w:rsid w:val="00264029"/>
    <w:rPr>
      <w:i/>
      <w:iCs/>
      <w:color w:val="0F4761" w:themeColor="accent1" w:themeShade="BF"/>
    </w:rPr>
  </w:style>
  <w:style w:type="paragraph" w:styleId="IntenseQuote">
    <w:name w:val="Intense Quote"/>
    <w:basedOn w:val="Normal"/>
    <w:next w:val="Normal"/>
    <w:link w:val="IntenseQuoteChar"/>
    <w:uiPriority w:val="30"/>
    <w:qFormat/>
    <w:rsid w:val="00264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4029"/>
    <w:rPr>
      <w:i/>
      <w:iCs/>
      <w:color w:val="0F4761" w:themeColor="accent1" w:themeShade="BF"/>
    </w:rPr>
  </w:style>
  <w:style w:type="character" w:styleId="IntenseReference">
    <w:name w:val="Intense Reference"/>
    <w:basedOn w:val="DefaultParagraphFont"/>
    <w:uiPriority w:val="32"/>
    <w:qFormat/>
    <w:rsid w:val="00264029"/>
    <w:rPr>
      <w:b/>
      <w:bCs/>
      <w:smallCaps/>
      <w:color w:val="0F4761" w:themeColor="accent1" w:themeShade="BF"/>
      <w:spacing w:val="5"/>
    </w:rPr>
  </w:style>
  <w:style w:type="paragraph" w:styleId="FootnoteText">
    <w:name w:val="footnote text"/>
    <w:basedOn w:val="Normal"/>
    <w:link w:val="FootnoteTextChar"/>
    <w:uiPriority w:val="99"/>
    <w:semiHidden/>
    <w:unhideWhenUsed/>
    <w:rsid w:val="00E945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45F3"/>
    <w:rPr>
      <w:sz w:val="20"/>
      <w:szCs w:val="20"/>
    </w:rPr>
  </w:style>
  <w:style w:type="character" w:styleId="FootnoteReference">
    <w:name w:val="footnote reference"/>
    <w:basedOn w:val="DefaultParagraphFont"/>
    <w:uiPriority w:val="99"/>
    <w:semiHidden/>
    <w:unhideWhenUsed/>
    <w:rsid w:val="00E945F3"/>
    <w:rPr>
      <w:vertAlign w:val="superscript"/>
    </w:rPr>
  </w:style>
  <w:style w:type="character" w:styleId="Hyperlink">
    <w:name w:val="Hyperlink"/>
    <w:basedOn w:val="DefaultParagraphFont"/>
    <w:uiPriority w:val="99"/>
    <w:unhideWhenUsed/>
    <w:rsid w:val="00E945F3"/>
    <w:rPr>
      <w:color w:val="0000FF"/>
      <w:u w:val="single"/>
    </w:rPr>
  </w:style>
  <w:style w:type="paragraph" w:styleId="Header">
    <w:name w:val="header"/>
    <w:basedOn w:val="Normal"/>
    <w:link w:val="HeaderChar"/>
    <w:uiPriority w:val="99"/>
    <w:unhideWhenUsed/>
    <w:rsid w:val="00D72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761"/>
  </w:style>
  <w:style w:type="paragraph" w:styleId="Footer">
    <w:name w:val="footer"/>
    <w:basedOn w:val="Normal"/>
    <w:link w:val="FooterChar"/>
    <w:uiPriority w:val="99"/>
    <w:unhideWhenUsed/>
    <w:rsid w:val="00D72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761"/>
  </w:style>
  <w:style w:type="character" w:styleId="PageNumber">
    <w:name w:val="page number"/>
    <w:basedOn w:val="DefaultParagraphFont"/>
    <w:uiPriority w:val="99"/>
    <w:semiHidden/>
    <w:unhideWhenUsed/>
    <w:rsid w:val="0027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peyton.cherry@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36B6A-C426-4E26-BB86-BC8369D5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1317</Words>
  <Characters>7500</Characters>
  <Application>Microsoft Office Word</Application>
  <DocSecurity>0</DocSecurity>
  <Lines>117</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Cherry</dc:creator>
  <cp:keywords/>
  <dc:description/>
  <cp:lastModifiedBy>Chihab El Khachab</cp:lastModifiedBy>
  <cp:revision>16</cp:revision>
  <dcterms:created xsi:type="dcterms:W3CDTF">2025-12-12T12:36:00Z</dcterms:created>
  <dcterms:modified xsi:type="dcterms:W3CDTF">2026-01-09T16:19:00Z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3814dfe3-d11c-443e-8248-30f1c2f49ad2</vt:lpwstr>
  </property>
</Properties>
</file>