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7D77" w14:textId="77777777" w:rsidR="002961B6" w:rsidRPr="00A53258" w:rsidRDefault="002961B6" w:rsidP="00A443D5">
      <w:pPr>
        <w:spacing w:after="0" w:line="240" w:lineRule="auto"/>
        <w:jc w:val="center"/>
        <w:rPr>
          <w:rFonts w:ascii="Gill Sans MT" w:eastAsia="Calibri" w:hAnsi="Gill Sans MT" w:cs="Arial"/>
        </w:rPr>
      </w:pPr>
      <w:r w:rsidRPr="00A53258">
        <w:rPr>
          <w:rFonts w:ascii="Gill Sans MT" w:eastAsia="Calibri" w:hAnsi="Gill Sans MT" w:cs="Arial"/>
          <w:noProof/>
          <w:lang w:val="en-US"/>
        </w:rPr>
        <w:drawing>
          <wp:inline distT="0" distB="0" distL="0" distR="0" wp14:anchorId="544BE842" wp14:editId="294CA4D8">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Pr="00A53258">
        <w:rPr>
          <w:rFonts w:ascii="Gill Sans MT" w:eastAsia="Calibri" w:hAnsi="Gill Sans MT" w:cs="Arial"/>
        </w:rPr>
        <w:br/>
      </w:r>
    </w:p>
    <w:p w14:paraId="598EEF4F" w14:textId="77777777" w:rsidR="002961B6" w:rsidRPr="00A53258" w:rsidRDefault="002961B6" w:rsidP="00A443D5">
      <w:pPr>
        <w:spacing w:after="0" w:line="240" w:lineRule="auto"/>
        <w:jc w:val="center"/>
        <w:rPr>
          <w:rFonts w:ascii="Gill Sans MT" w:eastAsia="Calibri" w:hAnsi="Gill Sans MT" w:cs="Arial"/>
        </w:rPr>
      </w:pPr>
    </w:p>
    <w:p w14:paraId="6919EDBC" w14:textId="0A22FCE1" w:rsidR="00B3365D" w:rsidRPr="00A53258" w:rsidRDefault="00B3365D" w:rsidP="00A443D5">
      <w:pPr>
        <w:spacing w:after="0" w:line="240" w:lineRule="auto"/>
        <w:jc w:val="both"/>
        <w:rPr>
          <w:rFonts w:ascii="Gill Sans MT" w:eastAsia="Calibri" w:hAnsi="Gill Sans MT" w:cs="Arial"/>
        </w:rPr>
      </w:pPr>
      <w:r w:rsidRPr="00A53258">
        <w:rPr>
          <w:rFonts w:ascii="Gill Sans MT" w:eastAsia="Times New Roman" w:hAnsi="Gill Sans MT" w:cs="Times New Roman"/>
          <w:b/>
          <w:bCs/>
          <w:kern w:val="0"/>
          <w:sz w:val="28"/>
          <w:szCs w:val="28"/>
          <w14:ligatures w14:val="none"/>
        </w:rPr>
        <w:t xml:space="preserve">BRADY G’SELL. </w:t>
      </w:r>
      <w:r w:rsidRPr="00A53258">
        <w:rPr>
          <w:rFonts w:ascii="Gill Sans MT" w:eastAsia="Times New Roman" w:hAnsi="Gill Sans MT" w:cs="Times New Roman"/>
          <w:i/>
          <w:iCs/>
          <w:kern w:val="0"/>
          <w:sz w:val="28"/>
          <w:szCs w:val="28"/>
          <w14:ligatures w14:val="none"/>
        </w:rPr>
        <w:t xml:space="preserve">REWORKING CITIZENSHIP: RACE, GENDER </w:t>
      </w:r>
      <w:r w:rsidR="00725537">
        <w:rPr>
          <w:rFonts w:ascii="Gill Sans MT" w:eastAsia="Times New Roman" w:hAnsi="Gill Sans MT" w:cs="Times New Roman"/>
          <w:i/>
          <w:iCs/>
          <w:kern w:val="0"/>
          <w:sz w:val="28"/>
          <w:szCs w:val="28"/>
          <w14:ligatures w14:val="none"/>
        </w:rPr>
        <w:t>AND</w:t>
      </w:r>
      <w:r w:rsidRPr="00A53258">
        <w:rPr>
          <w:rFonts w:ascii="Gill Sans MT" w:eastAsia="Times New Roman" w:hAnsi="Gill Sans MT" w:cs="Times New Roman"/>
          <w:i/>
          <w:iCs/>
          <w:kern w:val="0"/>
          <w:sz w:val="28"/>
          <w:szCs w:val="28"/>
          <w14:ligatures w14:val="none"/>
        </w:rPr>
        <w:t xml:space="preserve"> KINSHIP IN SOUTH AFRICA</w:t>
      </w:r>
      <w:r w:rsidRPr="00A53258">
        <w:rPr>
          <w:rFonts w:ascii="Gill Sans MT" w:eastAsia="Times New Roman" w:hAnsi="Gill Sans MT" w:cs="Times New Roman"/>
          <w:kern w:val="0"/>
          <w:sz w:val="28"/>
          <w:szCs w:val="28"/>
          <w14:ligatures w14:val="none"/>
        </w:rPr>
        <w:t>. STANFORD:</w:t>
      </w:r>
      <w:r w:rsidR="009B7110" w:rsidRPr="00A53258">
        <w:rPr>
          <w:rFonts w:ascii="Gill Sans MT" w:eastAsia="Times New Roman" w:hAnsi="Gill Sans MT" w:cs="Times New Roman"/>
          <w:kern w:val="0"/>
          <w:sz w:val="28"/>
          <w:szCs w:val="28"/>
          <w14:ligatures w14:val="none"/>
        </w:rPr>
        <w:t xml:space="preserve"> STANFORD</w:t>
      </w:r>
      <w:r w:rsidRPr="00A53258">
        <w:rPr>
          <w:rFonts w:ascii="Gill Sans MT" w:eastAsia="Times New Roman" w:hAnsi="Gill Sans MT" w:cs="Times New Roman"/>
          <w:kern w:val="0"/>
          <w:sz w:val="28"/>
          <w:szCs w:val="28"/>
          <w14:ligatures w14:val="none"/>
        </w:rPr>
        <w:t xml:space="preserve"> UNIVERSITY PRESS 2024. 312 P. </w:t>
      </w:r>
      <w:r w:rsidRPr="00A53258">
        <w:rPr>
          <w:rFonts w:ascii="Gill Sans MT" w:eastAsia="Times New Roman" w:hAnsi="Gill Sans MT" w:cs="Times New Roman"/>
          <w:color w:val="514747"/>
          <w:kern w:val="0"/>
          <w:sz w:val="28"/>
          <w:szCs w:val="28"/>
          <w:shd w:val="clear" w:color="auto" w:fill="FFFFFF"/>
          <w14:ligatures w14:val="none"/>
        </w:rPr>
        <w:t>ISBN: 9781503639171</w:t>
      </w:r>
    </w:p>
    <w:p w14:paraId="2C025620" w14:textId="77777777" w:rsidR="002961B6" w:rsidRPr="00A53258" w:rsidRDefault="00B3365D" w:rsidP="00A443D5">
      <w:pPr>
        <w:spacing w:after="0" w:line="240" w:lineRule="auto"/>
        <w:jc w:val="center"/>
        <w:rPr>
          <w:rFonts w:ascii="Gill Sans MT" w:eastAsia="Calibri" w:hAnsi="Gill Sans MT" w:cs="Calibri"/>
          <w:color w:val="000000"/>
          <w:sz w:val="28"/>
          <w:szCs w:val="28"/>
        </w:rPr>
      </w:pPr>
      <w:r w:rsidRPr="00A53258">
        <w:rPr>
          <w:rFonts w:ascii="Gill Sans MT" w:hAnsi="Gill Sans MT"/>
        </w:rPr>
        <w:br/>
      </w:r>
      <w:r w:rsidRPr="00A53258">
        <w:rPr>
          <w:rFonts w:ascii="Gill Sans MT" w:eastAsia="Times New Roman" w:hAnsi="Gill Sans MT" w:cs="Times New Roman"/>
          <w:kern w:val="0"/>
          <w:sz w:val="28"/>
          <w:szCs w:val="28"/>
          <w14:ligatures w14:val="none"/>
        </w:rPr>
        <w:t>MAXIME BOURDIER</w:t>
      </w:r>
      <w:r w:rsidR="005134F6" w:rsidRPr="00A53258">
        <w:rPr>
          <w:rStyle w:val="FootnoteReference"/>
          <w:rFonts w:ascii="Gill Sans MT" w:eastAsia="Times New Roman" w:hAnsi="Gill Sans MT" w:cs="Times New Roman"/>
          <w:kern w:val="0"/>
          <w:sz w:val="28"/>
          <w:szCs w:val="28"/>
          <w14:ligatures w14:val="none"/>
        </w:rPr>
        <w:footnoteReference w:id="1"/>
      </w:r>
    </w:p>
    <w:p w14:paraId="70AEC2A5" w14:textId="77777777" w:rsidR="002961B6" w:rsidRPr="00A53258" w:rsidRDefault="002961B6" w:rsidP="00A443D5">
      <w:pPr>
        <w:spacing w:after="0" w:line="240" w:lineRule="auto"/>
        <w:jc w:val="both"/>
        <w:rPr>
          <w:rFonts w:ascii="Gill Sans MT" w:eastAsia="Calibri" w:hAnsi="Gill Sans MT" w:cs="Calibri"/>
          <w:b/>
          <w:bCs/>
          <w:color w:val="000000"/>
        </w:rPr>
      </w:pPr>
    </w:p>
    <w:p w14:paraId="7B6E168B" w14:textId="77777777" w:rsidR="002961B6" w:rsidRPr="00A53258" w:rsidRDefault="002961B6" w:rsidP="00A443D5">
      <w:pPr>
        <w:spacing w:after="0" w:line="240" w:lineRule="auto"/>
        <w:jc w:val="both"/>
        <w:rPr>
          <w:rFonts w:ascii="Gill Sans MT" w:eastAsia="Calibri" w:hAnsi="Gill Sans MT" w:cs="Calibri"/>
          <w:b/>
          <w:bCs/>
          <w:color w:val="000000"/>
        </w:rPr>
      </w:pPr>
    </w:p>
    <w:p w14:paraId="3E71CC51" w14:textId="3BCF330D" w:rsidR="00B3365D" w:rsidRPr="00A53258" w:rsidRDefault="00B3365D" w:rsidP="00A443D5">
      <w:pPr>
        <w:spacing w:after="0" w:line="240" w:lineRule="auto"/>
        <w:jc w:val="both"/>
        <w:rPr>
          <w:rFonts w:ascii="Gill Sans MT" w:eastAsia="Times New Roman" w:hAnsi="Gill Sans MT" w:cs="Times New Roman"/>
          <w:kern w:val="0"/>
          <w14:ligatures w14:val="none"/>
        </w:rPr>
      </w:pPr>
      <w:r w:rsidRPr="00A53258">
        <w:rPr>
          <w:rFonts w:ascii="Gill Sans MT" w:eastAsia="Times New Roman" w:hAnsi="Gill Sans MT" w:cs="Times New Roman"/>
          <w:kern w:val="0"/>
          <w14:ligatures w14:val="none"/>
        </w:rPr>
        <w:t xml:space="preserve">Decades of disillusionment with the post-apartheid promise of democracy, which ignited in South Africa during mass protests in 2021, underpin </w:t>
      </w:r>
      <w:r w:rsidRPr="00A53258">
        <w:rPr>
          <w:rFonts w:ascii="Gill Sans MT" w:eastAsia="Times New Roman" w:hAnsi="Gill Sans MT" w:cs="Times New Roman"/>
          <w:i/>
          <w:iCs/>
          <w:kern w:val="0"/>
          <w14:ligatures w14:val="none"/>
        </w:rPr>
        <w:t xml:space="preserve">Reworking </w:t>
      </w:r>
      <w:r w:rsidR="001B4C99">
        <w:rPr>
          <w:rFonts w:ascii="Gill Sans MT" w:eastAsia="Times New Roman" w:hAnsi="Gill Sans MT" w:cs="Times New Roman"/>
          <w:i/>
          <w:iCs/>
          <w:kern w:val="0"/>
          <w14:ligatures w14:val="none"/>
        </w:rPr>
        <w:t>c</w:t>
      </w:r>
      <w:r w:rsidRPr="00A53258">
        <w:rPr>
          <w:rFonts w:ascii="Gill Sans MT" w:eastAsia="Times New Roman" w:hAnsi="Gill Sans MT" w:cs="Times New Roman"/>
          <w:i/>
          <w:iCs/>
          <w:kern w:val="0"/>
          <w14:ligatures w14:val="none"/>
        </w:rPr>
        <w:t xml:space="preserve">itizenship: </w:t>
      </w:r>
      <w:r w:rsidR="001B4C99">
        <w:rPr>
          <w:rFonts w:ascii="Gill Sans MT" w:eastAsia="Times New Roman" w:hAnsi="Gill Sans MT" w:cs="Times New Roman"/>
          <w:i/>
          <w:iCs/>
          <w:kern w:val="0"/>
          <w14:ligatures w14:val="none"/>
        </w:rPr>
        <w:t>r</w:t>
      </w:r>
      <w:r w:rsidRPr="00A53258">
        <w:rPr>
          <w:rFonts w:ascii="Gill Sans MT" w:eastAsia="Times New Roman" w:hAnsi="Gill Sans MT" w:cs="Times New Roman"/>
          <w:i/>
          <w:iCs/>
          <w:kern w:val="0"/>
          <w14:ligatures w14:val="none"/>
        </w:rPr>
        <w:t xml:space="preserve">ace, </w:t>
      </w:r>
      <w:r w:rsidR="001B4C99">
        <w:rPr>
          <w:rFonts w:ascii="Gill Sans MT" w:eastAsia="Times New Roman" w:hAnsi="Gill Sans MT" w:cs="Times New Roman"/>
          <w:i/>
          <w:iCs/>
          <w:kern w:val="0"/>
          <w14:ligatures w14:val="none"/>
        </w:rPr>
        <w:t>g</w:t>
      </w:r>
      <w:r w:rsidRPr="00A53258">
        <w:rPr>
          <w:rFonts w:ascii="Gill Sans MT" w:eastAsia="Times New Roman" w:hAnsi="Gill Sans MT" w:cs="Times New Roman"/>
          <w:i/>
          <w:iCs/>
          <w:kern w:val="0"/>
          <w14:ligatures w14:val="none"/>
        </w:rPr>
        <w:t xml:space="preserve">ender </w:t>
      </w:r>
      <w:r w:rsidR="001B4C99">
        <w:rPr>
          <w:rFonts w:ascii="Gill Sans MT" w:eastAsia="Times New Roman" w:hAnsi="Gill Sans MT" w:cs="Times New Roman"/>
          <w:i/>
          <w:iCs/>
          <w:kern w:val="0"/>
          <w14:ligatures w14:val="none"/>
        </w:rPr>
        <w:t>and</w:t>
      </w:r>
      <w:r w:rsidRPr="00A53258">
        <w:rPr>
          <w:rFonts w:ascii="Gill Sans MT" w:eastAsia="Times New Roman" w:hAnsi="Gill Sans MT" w:cs="Times New Roman"/>
          <w:i/>
          <w:iCs/>
          <w:kern w:val="0"/>
          <w14:ligatures w14:val="none"/>
        </w:rPr>
        <w:t xml:space="preserve"> </w:t>
      </w:r>
      <w:r w:rsidR="001B4C99">
        <w:rPr>
          <w:rFonts w:ascii="Gill Sans MT" w:eastAsia="Times New Roman" w:hAnsi="Gill Sans MT" w:cs="Times New Roman"/>
          <w:i/>
          <w:iCs/>
          <w:kern w:val="0"/>
          <w14:ligatures w14:val="none"/>
        </w:rPr>
        <w:t>k</w:t>
      </w:r>
      <w:r w:rsidRPr="00A53258">
        <w:rPr>
          <w:rFonts w:ascii="Gill Sans MT" w:eastAsia="Times New Roman" w:hAnsi="Gill Sans MT" w:cs="Times New Roman"/>
          <w:i/>
          <w:iCs/>
          <w:kern w:val="0"/>
          <w14:ligatures w14:val="none"/>
        </w:rPr>
        <w:t>inship in South Africa</w:t>
      </w:r>
      <w:r w:rsidRPr="00A53258">
        <w:rPr>
          <w:rFonts w:ascii="Gill Sans MT" w:eastAsia="Times New Roman" w:hAnsi="Gill Sans MT" w:cs="Times New Roman"/>
          <w:kern w:val="0"/>
          <w14:ligatures w14:val="none"/>
        </w:rPr>
        <w:t xml:space="preserve">. Based on two decades of engagement with the country and one spent in the Point neighbourhood of Durban (57), Brady G’sell deftly ties literature on race, gender, and labour into a well-considered discussion of </w:t>
      </w:r>
      <w:r w:rsidR="00AB7DDD">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relational citizenship</w:t>
      </w:r>
      <w:r w:rsidR="00AB7DDD">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(204-205). </w:t>
      </w:r>
      <w:r w:rsidRPr="00A53258">
        <w:rPr>
          <w:rFonts w:ascii="Gill Sans MT" w:eastAsia="Times New Roman" w:hAnsi="Gill Sans MT" w:cs="Times New Roman"/>
          <w:i/>
          <w:iCs/>
          <w:kern w:val="0"/>
          <w14:ligatures w14:val="none"/>
        </w:rPr>
        <w:t xml:space="preserve">Reworking </w:t>
      </w:r>
      <w:r w:rsidR="00AB7DDD">
        <w:rPr>
          <w:rFonts w:ascii="Gill Sans MT" w:eastAsia="Times New Roman" w:hAnsi="Gill Sans MT" w:cs="Times New Roman"/>
          <w:i/>
          <w:iCs/>
          <w:kern w:val="0"/>
          <w14:ligatures w14:val="none"/>
        </w:rPr>
        <w:t>c</w:t>
      </w:r>
      <w:r w:rsidRPr="00A53258">
        <w:rPr>
          <w:rFonts w:ascii="Gill Sans MT" w:eastAsia="Times New Roman" w:hAnsi="Gill Sans MT" w:cs="Times New Roman"/>
          <w:i/>
          <w:iCs/>
          <w:kern w:val="0"/>
          <w14:ligatures w14:val="none"/>
        </w:rPr>
        <w:t xml:space="preserve">itizenship </w:t>
      </w:r>
      <w:r w:rsidRPr="00A53258">
        <w:rPr>
          <w:rFonts w:ascii="Gill Sans MT" w:eastAsia="Times New Roman" w:hAnsi="Gill Sans MT" w:cs="Times New Roman"/>
          <w:kern w:val="0"/>
          <w14:ligatures w14:val="none"/>
        </w:rPr>
        <w:t xml:space="preserve">is anchored around the notion of </w:t>
      </w:r>
      <w:proofErr w:type="spellStart"/>
      <w:r w:rsidRPr="00A53258">
        <w:rPr>
          <w:rFonts w:ascii="Gill Sans MT" w:eastAsia="Times New Roman" w:hAnsi="Gill Sans MT" w:cs="Times New Roman"/>
          <w:kern w:val="0"/>
          <w14:ligatures w14:val="none"/>
        </w:rPr>
        <w:t>kinshipping</w:t>
      </w:r>
      <w:proofErr w:type="spellEnd"/>
      <w:r w:rsidRPr="00A53258">
        <w:rPr>
          <w:rFonts w:ascii="Gill Sans MT" w:eastAsia="Times New Roman" w:hAnsi="Gill Sans MT" w:cs="Times New Roman"/>
          <w:kern w:val="0"/>
          <w14:ligatures w14:val="none"/>
        </w:rPr>
        <w:t xml:space="preserve">, or </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the formation and solidification of relationships expressed in a kinship idiom</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(5). For her informants, social and political belonging was </w:t>
      </w:r>
      <w:r w:rsidR="00AB7DDD">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constituted through [</w:t>
      </w:r>
      <w:r w:rsidR="00AB7DDD">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relationships that were insecure</w:t>
      </w:r>
      <w:r w:rsidR="00AB7DDD">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(186). Forging these webs of relationships with family, neighbours, lovers, and the state becomes </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the very structure by which economic resources are distributed and social reproduction is enabled</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(16). </w:t>
      </w:r>
      <w:proofErr w:type="spellStart"/>
      <w:r w:rsidRPr="00A53258">
        <w:rPr>
          <w:rFonts w:ascii="Gill Sans MT" w:eastAsia="Times New Roman" w:hAnsi="Gill Sans MT" w:cs="Times New Roman"/>
          <w:kern w:val="0"/>
          <w14:ligatures w14:val="none"/>
        </w:rPr>
        <w:t>Kinshipping</w:t>
      </w:r>
      <w:proofErr w:type="spellEnd"/>
      <w:r w:rsidRPr="00A53258">
        <w:rPr>
          <w:rFonts w:ascii="Gill Sans MT" w:eastAsia="Times New Roman" w:hAnsi="Gill Sans MT" w:cs="Times New Roman"/>
          <w:kern w:val="0"/>
          <w14:ligatures w14:val="none"/>
        </w:rPr>
        <w:t xml:space="preserve"> becomes a way of creating and maintaining those relationships, of making them feel more secure through reciprocal economic, affective, and political obligations. Methodologically eclectic, </w:t>
      </w:r>
      <w:proofErr w:type="spellStart"/>
      <w:r w:rsidRPr="00A53258">
        <w:rPr>
          <w:rFonts w:ascii="Gill Sans MT" w:eastAsia="Times New Roman" w:hAnsi="Gill Sans MT" w:cs="Times New Roman"/>
          <w:kern w:val="0"/>
          <w14:ligatures w14:val="none"/>
        </w:rPr>
        <w:t>G’sell</w:t>
      </w:r>
      <w:proofErr w:type="spellEnd"/>
      <w:r w:rsidRPr="00A53258">
        <w:rPr>
          <w:rFonts w:ascii="Gill Sans MT" w:eastAsia="Times New Roman" w:hAnsi="Gill Sans MT" w:cs="Times New Roman"/>
          <w:kern w:val="0"/>
          <w14:ligatures w14:val="none"/>
        </w:rPr>
        <w:t xml:space="preserve"> provides a textured account of the increasingly politicised category of motherhood through oral histories, participant observation, archival research, and interviews. </w:t>
      </w:r>
    </w:p>
    <w:p w14:paraId="7E449A51" w14:textId="38AE1B73" w:rsidR="00B3365D" w:rsidRPr="00A53258" w:rsidRDefault="00B3365D" w:rsidP="00A443D5">
      <w:pPr>
        <w:spacing w:after="0" w:line="240" w:lineRule="auto"/>
        <w:ind w:firstLine="720"/>
        <w:jc w:val="both"/>
        <w:rPr>
          <w:rFonts w:ascii="Gill Sans MT" w:eastAsia="Times New Roman" w:hAnsi="Gill Sans MT" w:cs="Times New Roman"/>
        </w:rPr>
      </w:pPr>
      <w:r w:rsidRPr="00A53258">
        <w:rPr>
          <w:rFonts w:ascii="Gill Sans MT" w:eastAsia="Times New Roman" w:hAnsi="Gill Sans MT" w:cs="Times New Roman"/>
          <w:kern w:val="0"/>
          <w14:ligatures w14:val="none"/>
        </w:rPr>
        <w:t xml:space="preserve">The first three chapters provide historical and contemporary context, while the last three explore different livelihood strategies. Chapter 1 lays out the Point neighbourhood as </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segregated yet heterogenous, interdependent yet discordant, and poor yet rich in resources</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(58). The resulting </w:t>
      </w:r>
      <w:r w:rsidR="002961B6" w:rsidRPr="00A53258">
        <w:rPr>
          <w:rFonts w:ascii="Gill Sans MT" w:eastAsia="Times New Roman" w:hAnsi="Gill Sans MT" w:cs="Times New Roman"/>
          <w:kern w:val="0"/>
          <w14:ligatures w14:val="none"/>
        </w:rPr>
        <w:t>‘</w:t>
      </w:r>
      <w:proofErr w:type="spellStart"/>
      <w:r w:rsidRPr="00A53258">
        <w:rPr>
          <w:rFonts w:ascii="Gill Sans MT" w:eastAsia="Times New Roman" w:hAnsi="Gill Sans MT" w:cs="Times New Roman"/>
          <w:kern w:val="0"/>
          <w14:ligatures w14:val="none"/>
        </w:rPr>
        <w:t>kinshipping</w:t>
      </w:r>
      <w:proofErr w:type="spellEnd"/>
      <w:r w:rsidRPr="00A53258">
        <w:rPr>
          <w:rFonts w:ascii="Gill Sans MT" w:eastAsia="Times New Roman" w:hAnsi="Gill Sans MT" w:cs="Times New Roman"/>
          <w:kern w:val="0"/>
          <w14:ligatures w14:val="none"/>
        </w:rPr>
        <w:t xml:space="preserve"> in a kinless place</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(42) makes livelihood strategies and their justifications starkly visible. Chapter 2 historicises the category of motherhood through an analysis of welfare policies. Apartheid was sustained through the welfare state, testifying to the anxieties of white national purity and maintaining race and class hierarchies. In Chapter 3, </w:t>
      </w:r>
      <w:proofErr w:type="spellStart"/>
      <w:r w:rsidRPr="00A53258">
        <w:rPr>
          <w:rFonts w:ascii="Gill Sans MT" w:eastAsia="Times New Roman" w:hAnsi="Gill Sans MT" w:cs="Times New Roman"/>
          <w:kern w:val="0"/>
          <w14:ligatures w14:val="none"/>
        </w:rPr>
        <w:t>G’sell</w:t>
      </w:r>
      <w:proofErr w:type="spellEnd"/>
      <w:r w:rsidRPr="00A53258">
        <w:rPr>
          <w:rFonts w:ascii="Gill Sans MT" w:eastAsia="Times New Roman" w:hAnsi="Gill Sans MT" w:cs="Times New Roman"/>
          <w:kern w:val="0"/>
          <w14:ligatures w14:val="none"/>
        </w:rPr>
        <w:t xml:space="preserve"> explores the crafting – and policing – of good motherhood through Children’s Court cases from 1949 to 1998. The archival ethnographies of Grace, Magdalena, and Rosemary demonstrate how the shifting categories of race, gender, and class are also instrumentalised by women in the Point. With detailed ethnographic vignettes of the quotidian negotiations of Point mothers, Chapter 4 centres on the lives of 15 women and examines the </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repertoires of verbal and nonverbal expression</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(137) characteristic of the fluid perception of motherhood. Chapter 5 takes us courtside, exploring Maintenance Courts as </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a performative sphere of democracy</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(167) through which not only are claims for resources made</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but the intimate economies of modern South Africa are renegotiated. The decision to take a former boyfriend to court was torn between longing for reconnection or retribution (171), providing another </w:t>
      </w:r>
      <w:r w:rsidRPr="00A53258">
        <w:rPr>
          <w:rFonts w:ascii="Gill Sans MT" w:eastAsia="Times New Roman" w:hAnsi="Gill Sans MT" w:cs="Times New Roman"/>
          <w:kern w:val="0"/>
          <w14:ligatures w14:val="none"/>
        </w:rPr>
        <w:lastRenderedPageBreak/>
        <w:t>strategy for rhetorical empowerment, material redistribution, and ultimately reworking belonging in the nation. Chapter 6 describes another such livelihood strategy, investigating the often poorly perceived marriages between South African women and foreign African men. Her continued references to multiple interviews with social workers (Chapter 3) are particularly insightful. Their experience reminds us to investigate institutional oppression not solely through an ideological lens but also through the personal affective relationships</w:t>
      </w:r>
      <w:r w:rsidR="002961B6" w:rsidRPr="00A53258">
        <w:rPr>
          <w:rFonts w:ascii="Gill Sans MT" w:eastAsia="Times New Roman" w:hAnsi="Gill Sans MT" w:cs="Times New Roman"/>
          <w:kern w:val="0"/>
          <w14:ligatures w14:val="none"/>
        </w:rPr>
        <w:t xml:space="preserve"> that</w:t>
      </w:r>
      <w:r w:rsidRPr="00A53258">
        <w:rPr>
          <w:rFonts w:ascii="Gill Sans MT" w:eastAsia="Times New Roman" w:hAnsi="Gill Sans MT" w:cs="Times New Roman"/>
          <w:kern w:val="0"/>
          <w14:ligatures w14:val="none"/>
        </w:rPr>
        <w:t xml:space="preserve"> actors of the state build in their daily work. The overall emphasis on the social relations that signify political and</w:t>
      </w:r>
      <w:r w:rsidR="005134F6" w:rsidRPr="00A53258">
        <w:rPr>
          <w:rFonts w:ascii="Gill Sans MT" w:eastAsia="Times New Roman" w:hAnsi="Gill Sans MT" w:cs="Times New Roman"/>
          <w:kern w:val="0"/>
          <w14:ligatures w14:val="none"/>
        </w:rPr>
        <w:t xml:space="preserve"> </w:t>
      </w:r>
      <w:r w:rsidRPr="00A53258">
        <w:rPr>
          <w:rFonts w:ascii="Gill Sans MT" w:eastAsia="Times New Roman" w:hAnsi="Gill Sans MT" w:cs="Times New Roman"/>
          <w:kern w:val="0"/>
          <w14:ligatures w14:val="none"/>
        </w:rPr>
        <w:t xml:space="preserve">economic belonging in South Africa provides compelling support for </w:t>
      </w:r>
      <w:proofErr w:type="spellStart"/>
      <w:r w:rsidRPr="00A53258">
        <w:rPr>
          <w:rFonts w:ascii="Gill Sans MT" w:eastAsia="Times New Roman" w:hAnsi="Gill Sans MT" w:cs="Times New Roman"/>
          <w:kern w:val="0"/>
          <w14:ligatures w14:val="none"/>
        </w:rPr>
        <w:t>Nyamnjoh’s</w:t>
      </w:r>
      <w:proofErr w:type="spellEnd"/>
      <w:r w:rsidRPr="00A53258">
        <w:rPr>
          <w:rFonts w:ascii="Gill Sans MT" w:eastAsia="Times New Roman" w:hAnsi="Gill Sans MT" w:cs="Times New Roman"/>
          <w:kern w:val="0"/>
          <w14:ligatures w14:val="none"/>
        </w:rPr>
        <w:t xml:space="preserve"> advocacy of </w:t>
      </w:r>
      <w:r w:rsidR="00CA3737">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relational citizenship</w:t>
      </w:r>
      <w:r w:rsidR="00CA3737">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premised on the interdependence of persons. </w:t>
      </w:r>
    </w:p>
    <w:p w14:paraId="3135C41C" w14:textId="205800B3" w:rsidR="00B3365D" w:rsidRPr="00A53258" w:rsidRDefault="00B3365D" w:rsidP="00A443D5">
      <w:pPr>
        <w:spacing w:after="0" w:line="240" w:lineRule="auto"/>
        <w:ind w:firstLine="720"/>
        <w:jc w:val="both"/>
        <w:rPr>
          <w:rFonts w:ascii="Gill Sans MT" w:eastAsia="Times New Roman" w:hAnsi="Gill Sans MT" w:cs="Times New Roman"/>
        </w:rPr>
      </w:pPr>
      <w:r w:rsidRPr="00A53258">
        <w:rPr>
          <w:rFonts w:ascii="Gill Sans MT" w:eastAsia="Times New Roman" w:hAnsi="Gill Sans MT" w:cs="Times New Roman"/>
          <w:kern w:val="0"/>
          <w14:ligatures w14:val="none"/>
        </w:rPr>
        <w:t xml:space="preserve">The transformation of citizenship captured by </w:t>
      </w:r>
      <w:proofErr w:type="spellStart"/>
      <w:r w:rsidRPr="00A53258">
        <w:rPr>
          <w:rFonts w:ascii="Gill Sans MT" w:eastAsia="Times New Roman" w:hAnsi="Gill Sans MT" w:cs="Times New Roman"/>
          <w:kern w:val="0"/>
          <w14:ligatures w14:val="none"/>
        </w:rPr>
        <w:t>G’sell</w:t>
      </w:r>
      <w:proofErr w:type="spellEnd"/>
      <w:r w:rsidRPr="00A53258">
        <w:rPr>
          <w:rFonts w:ascii="Gill Sans MT" w:eastAsia="Times New Roman" w:hAnsi="Gill Sans MT" w:cs="Times New Roman"/>
          <w:kern w:val="0"/>
          <w14:ligatures w14:val="none"/>
        </w:rPr>
        <w:t xml:space="preserve"> is acknowledged as being the result of global </w:t>
      </w:r>
      <w:proofErr w:type="spellStart"/>
      <w:r w:rsidRPr="00A53258">
        <w:rPr>
          <w:rFonts w:ascii="Gill Sans MT" w:eastAsia="Times New Roman" w:hAnsi="Gill Sans MT" w:cs="Times New Roman"/>
          <w:kern w:val="0"/>
          <w14:ligatures w14:val="none"/>
        </w:rPr>
        <w:t>neoliberalisation</w:t>
      </w:r>
      <w:proofErr w:type="spellEnd"/>
      <w:r w:rsidRPr="00A53258">
        <w:rPr>
          <w:rFonts w:ascii="Gill Sans MT" w:eastAsia="Times New Roman" w:hAnsi="Gill Sans MT" w:cs="Times New Roman"/>
          <w:kern w:val="0"/>
          <w14:ligatures w14:val="none"/>
        </w:rPr>
        <w:t xml:space="preserve"> and its restructuring of the nation-state as premised on economic participation (Brown 2015). This situates </w:t>
      </w:r>
      <w:r w:rsidRPr="00A53258">
        <w:rPr>
          <w:rFonts w:ascii="Gill Sans MT" w:eastAsia="Times New Roman" w:hAnsi="Gill Sans MT" w:cs="Times New Roman"/>
          <w:i/>
          <w:iCs/>
          <w:kern w:val="0"/>
          <w14:ligatures w14:val="none"/>
        </w:rPr>
        <w:t xml:space="preserve">Reworking </w:t>
      </w:r>
      <w:r w:rsidR="00183369">
        <w:rPr>
          <w:rFonts w:ascii="Gill Sans MT" w:eastAsia="Times New Roman" w:hAnsi="Gill Sans MT" w:cs="Times New Roman"/>
          <w:i/>
          <w:iCs/>
          <w:kern w:val="0"/>
          <w14:ligatures w14:val="none"/>
        </w:rPr>
        <w:t>c</w:t>
      </w:r>
      <w:r w:rsidRPr="00A53258">
        <w:rPr>
          <w:rFonts w:ascii="Gill Sans MT" w:eastAsia="Times New Roman" w:hAnsi="Gill Sans MT" w:cs="Times New Roman"/>
          <w:i/>
          <w:iCs/>
          <w:kern w:val="0"/>
          <w14:ligatures w14:val="none"/>
        </w:rPr>
        <w:t xml:space="preserve">itizenship </w:t>
      </w:r>
      <w:r w:rsidRPr="00A53258">
        <w:rPr>
          <w:rFonts w:ascii="Gill Sans MT" w:eastAsia="Times New Roman" w:hAnsi="Gill Sans MT" w:cs="Times New Roman"/>
          <w:kern w:val="0"/>
          <w14:ligatures w14:val="none"/>
        </w:rPr>
        <w:t xml:space="preserve">firmly within the now well-discussed turn to </w:t>
      </w:r>
      <w:r w:rsidR="00183369">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Dark Anthropology</w:t>
      </w:r>
      <w:r w:rsidR="00183369">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There is undeniable value in both those </w:t>
      </w:r>
      <w:r w:rsidR="000E15F5">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cultural critiques</w:t>
      </w:r>
      <w:r w:rsidR="000E15F5">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that dissect the dark realities of the world we live in and the body of work which explores new social movements while critically unpacking monolithic assumptions </w:t>
      </w:r>
      <w:r w:rsidR="006C1AF7">
        <w:rPr>
          <w:rFonts w:ascii="Gill Sans MT" w:eastAsia="Times New Roman" w:hAnsi="Gill Sans MT" w:cs="Times New Roman"/>
          <w:kern w:val="0"/>
          <w14:ligatures w14:val="none"/>
        </w:rPr>
        <w:t>about</w:t>
      </w:r>
      <w:r w:rsidRPr="00A53258">
        <w:rPr>
          <w:rFonts w:ascii="Gill Sans MT" w:eastAsia="Times New Roman" w:hAnsi="Gill Sans MT" w:cs="Times New Roman"/>
          <w:kern w:val="0"/>
          <w14:ligatures w14:val="none"/>
        </w:rPr>
        <w:t xml:space="preserve"> neoliberalism and capitalism (Ortner 2016). </w:t>
      </w:r>
      <w:proofErr w:type="spellStart"/>
      <w:r w:rsidRPr="00A53258">
        <w:rPr>
          <w:rFonts w:ascii="Gill Sans MT" w:eastAsia="Times New Roman" w:hAnsi="Gill Sans MT" w:cs="Times New Roman"/>
          <w:kern w:val="0"/>
          <w14:ligatures w14:val="none"/>
        </w:rPr>
        <w:t>G’sell</w:t>
      </w:r>
      <w:r w:rsidR="006C1AF7">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s</w:t>
      </w:r>
      <w:proofErr w:type="spellEnd"/>
      <w:r w:rsidRPr="00A53258">
        <w:rPr>
          <w:rFonts w:ascii="Gill Sans MT" w:eastAsia="Times New Roman" w:hAnsi="Gill Sans MT" w:cs="Times New Roman"/>
          <w:kern w:val="0"/>
          <w14:ligatures w14:val="none"/>
        </w:rPr>
        <w:t xml:space="preserve"> work sits in the former category, and the potential Point mothers’ claim-making offers for imagining alternative futures is not done justice. Despite being mentioned at the end of the conclusion (211-214), the activist outlook remains understated throughout the body of the monograph. </w:t>
      </w:r>
      <w:r w:rsidRPr="00A53258">
        <w:rPr>
          <w:rFonts w:ascii="Gill Sans MT" w:eastAsia="Times New Roman" w:hAnsi="Gill Sans MT" w:cs="Times New Roman"/>
          <w:i/>
          <w:iCs/>
          <w:kern w:val="0"/>
          <w14:ligatures w14:val="none"/>
        </w:rPr>
        <w:t xml:space="preserve">Reworking </w:t>
      </w:r>
      <w:r w:rsidR="006C1AF7">
        <w:rPr>
          <w:rFonts w:ascii="Gill Sans MT" w:eastAsia="Times New Roman" w:hAnsi="Gill Sans MT" w:cs="Times New Roman"/>
          <w:i/>
          <w:iCs/>
          <w:kern w:val="0"/>
          <w14:ligatures w14:val="none"/>
        </w:rPr>
        <w:t>c</w:t>
      </w:r>
      <w:r w:rsidRPr="00A53258">
        <w:rPr>
          <w:rFonts w:ascii="Gill Sans MT" w:eastAsia="Times New Roman" w:hAnsi="Gill Sans MT" w:cs="Times New Roman"/>
          <w:i/>
          <w:iCs/>
          <w:kern w:val="0"/>
          <w14:ligatures w14:val="none"/>
        </w:rPr>
        <w:t xml:space="preserve">itizenship </w:t>
      </w:r>
      <w:r w:rsidRPr="00A53258">
        <w:rPr>
          <w:rFonts w:ascii="Gill Sans MT" w:eastAsia="Times New Roman" w:hAnsi="Gill Sans MT" w:cs="Times New Roman"/>
          <w:kern w:val="0"/>
          <w14:ligatures w14:val="none"/>
        </w:rPr>
        <w:t xml:space="preserve">could more effectively distance itself from being an ethnography of suffering that fringes on what could be read as </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voyeuristic quasi-pornography</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(Kelly 2013). </w:t>
      </w:r>
    </w:p>
    <w:p w14:paraId="2DB07563" w14:textId="7600BCDD" w:rsidR="00B3365D" w:rsidRPr="00A53258" w:rsidRDefault="00B3365D" w:rsidP="00A443D5">
      <w:pPr>
        <w:spacing w:after="0" w:line="240" w:lineRule="auto"/>
        <w:ind w:firstLine="720"/>
        <w:jc w:val="both"/>
        <w:rPr>
          <w:rFonts w:ascii="Gill Sans MT" w:eastAsia="Times New Roman" w:hAnsi="Gill Sans MT" w:cs="Times New Roman"/>
        </w:rPr>
      </w:pPr>
      <w:r w:rsidRPr="00A53258">
        <w:rPr>
          <w:rFonts w:ascii="Gill Sans MT" w:eastAsia="Times New Roman" w:hAnsi="Gill Sans MT" w:cs="Times New Roman"/>
          <w:kern w:val="0"/>
          <w14:ligatures w14:val="none"/>
        </w:rPr>
        <w:t>Emphatically embracing the incompleteness of citizenship (</w:t>
      </w:r>
      <w:proofErr w:type="spellStart"/>
      <w:r w:rsidRPr="00A53258">
        <w:rPr>
          <w:rFonts w:ascii="Gill Sans MT" w:eastAsia="Times New Roman" w:hAnsi="Gill Sans MT" w:cs="Times New Roman"/>
          <w:kern w:val="0"/>
          <w14:ligatures w14:val="none"/>
        </w:rPr>
        <w:t>Nyamnjoh</w:t>
      </w:r>
      <w:proofErr w:type="spellEnd"/>
      <w:r w:rsidRPr="00A53258">
        <w:rPr>
          <w:rFonts w:ascii="Gill Sans MT" w:eastAsia="Times New Roman" w:hAnsi="Gill Sans MT" w:cs="Times New Roman"/>
          <w:kern w:val="0"/>
          <w14:ligatures w14:val="none"/>
        </w:rPr>
        <w:t xml:space="preserve"> 2022) forces us to reconsider hegemonic assumptions </w:t>
      </w:r>
      <w:r w:rsidR="00ED56E7">
        <w:rPr>
          <w:rFonts w:ascii="Gill Sans MT" w:eastAsia="Times New Roman" w:hAnsi="Gill Sans MT" w:cs="Times New Roman"/>
          <w:kern w:val="0"/>
          <w14:ligatures w14:val="none"/>
        </w:rPr>
        <w:t>about</w:t>
      </w:r>
      <w:r w:rsidRPr="00A53258">
        <w:rPr>
          <w:rFonts w:ascii="Gill Sans MT" w:eastAsia="Times New Roman" w:hAnsi="Gill Sans MT" w:cs="Times New Roman"/>
          <w:kern w:val="0"/>
          <w14:ligatures w14:val="none"/>
        </w:rPr>
        <w:t xml:space="preserve"> the perfect citizen and their genealogies. Especially flagrant in a post-apartheid South Africa where the feeling of empty democracy is prevalent (1), </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no institution, however carefully thought through from the outset, is perfect</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w:t>
      </w:r>
      <w:proofErr w:type="spellStart"/>
      <w:r w:rsidRPr="00A53258">
        <w:rPr>
          <w:rFonts w:ascii="Gill Sans MT" w:eastAsia="Times New Roman" w:hAnsi="Gill Sans MT" w:cs="Times New Roman"/>
          <w:kern w:val="0"/>
          <w14:ligatures w14:val="none"/>
        </w:rPr>
        <w:t>Nyamnjoh</w:t>
      </w:r>
      <w:proofErr w:type="spellEnd"/>
      <w:r w:rsidRPr="00A53258">
        <w:rPr>
          <w:rFonts w:ascii="Gill Sans MT" w:eastAsia="Times New Roman" w:hAnsi="Gill Sans MT" w:cs="Times New Roman"/>
          <w:kern w:val="0"/>
          <w14:ligatures w14:val="none"/>
        </w:rPr>
        <w:t xml:space="preserve"> 2022: 597). The axiomatic completeness of </w:t>
      </w:r>
      <w:proofErr w:type="spellStart"/>
      <w:r w:rsidRPr="00A53258">
        <w:rPr>
          <w:rFonts w:ascii="Gill Sans MT" w:eastAsia="Times New Roman" w:hAnsi="Gill Sans MT" w:cs="Times New Roman"/>
          <w:kern w:val="0"/>
          <w14:ligatures w14:val="none"/>
        </w:rPr>
        <w:t>juro</w:t>
      </w:r>
      <w:proofErr w:type="spellEnd"/>
      <w:r w:rsidRPr="00A53258">
        <w:rPr>
          <w:rFonts w:ascii="Gill Sans MT" w:eastAsia="Times New Roman" w:hAnsi="Gill Sans MT" w:cs="Times New Roman"/>
          <w:kern w:val="0"/>
          <w14:ligatures w14:val="none"/>
        </w:rPr>
        <w:t xml:space="preserve">-legal citizenship obscures the potential affordances that characterise Point mothers’ </w:t>
      </w:r>
      <w:proofErr w:type="spellStart"/>
      <w:r w:rsidRPr="00A53258">
        <w:rPr>
          <w:rFonts w:ascii="Gill Sans MT" w:eastAsia="Times New Roman" w:hAnsi="Gill Sans MT" w:cs="Times New Roman"/>
          <w:kern w:val="0"/>
          <w14:ligatures w14:val="none"/>
        </w:rPr>
        <w:t>kinshipping</w:t>
      </w:r>
      <w:proofErr w:type="spellEnd"/>
      <w:r w:rsidRPr="00A53258">
        <w:rPr>
          <w:rFonts w:ascii="Gill Sans MT" w:eastAsia="Times New Roman" w:hAnsi="Gill Sans MT" w:cs="Times New Roman"/>
          <w:kern w:val="0"/>
          <w14:ligatures w14:val="none"/>
        </w:rPr>
        <w:t xml:space="preserve">. </w:t>
      </w:r>
      <w:proofErr w:type="spellStart"/>
      <w:r w:rsidRPr="00A53258">
        <w:rPr>
          <w:rFonts w:ascii="Gill Sans MT" w:eastAsia="Times New Roman" w:hAnsi="Gill Sans MT" w:cs="Times New Roman"/>
          <w:kern w:val="0"/>
          <w14:ligatures w14:val="none"/>
        </w:rPr>
        <w:t>G’sell’s</w:t>
      </w:r>
      <w:proofErr w:type="spellEnd"/>
      <w:r w:rsidRPr="00A53258">
        <w:rPr>
          <w:rFonts w:ascii="Gill Sans MT" w:eastAsia="Times New Roman" w:hAnsi="Gill Sans MT" w:cs="Times New Roman"/>
          <w:kern w:val="0"/>
          <w14:ligatures w14:val="none"/>
        </w:rPr>
        <w:t xml:space="preserve"> discussion of the Muslim Sisterhood (Chapter 6) stands out here. Instead of being framed on what these relationships lack, she focuses on how important Zulu and Xhosa social values such as </w:t>
      </w:r>
      <w:proofErr w:type="spellStart"/>
      <w:r w:rsidRPr="00A53258">
        <w:rPr>
          <w:rFonts w:ascii="Gill Sans MT" w:eastAsia="Times New Roman" w:hAnsi="Gill Sans MT" w:cs="Times New Roman"/>
          <w:i/>
          <w:iCs/>
          <w:kern w:val="0"/>
          <w14:ligatures w14:val="none"/>
        </w:rPr>
        <w:t>ilobolo</w:t>
      </w:r>
      <w:proofErr w:type="spellEnd"/>
      <w:r w:rsidRPr="00A53258">
        <w:rPr>
          <w:rFonts w:ascii="Gill Sans MT" w:eastAsia="Times New Roman" w:hAnsi="Gill Sans MT" w:cs="Times New Roman"/>
          <w:i/>
          <w:iCs/>
          <w:kern w:val="0"/>
          <w14:ligatures w14:val="none"/>
        </w:rPr>
        <w:t xml:space="preserve"> </w:t>
      </w:r>
      <w:r w:rsidRPr="00A53258">
        <w:rPr>
          <w:rFonts w:ascii="Gill Sans MT" w:eastAsia="Times New Roman" w:hAnsi="Gill Sans MT" w:cs="Times New Roman"/>
          <w:kern w:val="0"/>
          <w14:ligatures w14:val="none"/>
        </w:rPr>
        <w:t xml:space="preserve">(bridewealth payment) are renegotiated in light of cultural differences and the changing nature of labour. Paying </w:t>
      </w:r>
      <w:proofErr w:type="spellStart"/>
      <w:r w:rsidRPr="00A53258">
        <w:rPr>
          <w:rFonts w:ascii="Gill Sans MT" w:eastAsia="Times New Roman" w:hAnsi="Gill Sans MT" w:cs="Times New Roman"/>
          <w:i/>
          <w:iCs/>
          <w:kern w:val="0"/>
          <w14:ligatures w14:val="none"/>
        </w:rPr>
        <w:t>ilobolo</w:t>
      </w:r>
      <w:proofErr w:type="spellEnd"/>
      <w:r w:rsidRPr="00A53258">
        <w:rPr>
          <w:rFonts w:ascii="Gill Sans MT" w:eastAsia="Times New Roman" w:hAnsi="Gill Sans MT" w:cs="Times New Roman"/>
          <w:i/>
          <w:iCs/>
          <w:kern w:val="0"/>
          <w14:ligatures w14:val="none"/>
        </w:rPr>
        <w:t xml:space="preserve"> </w:t>
      </w:r>
      <w:r w:rsidRPr="00A53258">
        <w:rPr>
          <w:rFonts w:ascii="Gill Sans MT" w:eastAsia="Times New Roman" w:hAnsi="Gill Sans MT" w:cs="Times New Roman"/>
          <w:kern w:val="0"/>
          <w14:ligatures w14:val="none"/>
        </w:rPr>
        <w:t xml:space="preserve">not only reinstated the social value of future wives (194) but also secured social reproduction and in doing so </w:t>
      </w:r>
      <w:r w:rsidR="0085180A">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strengthened feelings of belonging within South Africa</w:t>
      </w:r>
      <w:r w:rsidR="0085180A">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(186). Instead of trying to simulate the social status of marriage and thus alleviating the burden of not conforming to modern citizenship standards, marrying foreigners becomes mobilised in transforming the very parameters of that citizenship. Moving beyond the bleakness felt throughout the chapters, </w:t>
      </w:r>
      <w:r w:rsidR="00D73AFA">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hustling</w:t>
      </w:r>
      <w:r w:rsidR="00D73AFA">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and </w:t>
      </w:r>
      <w:r w:rsidR="00D73AFA">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getting by</w:t>
      </w:r>
      <w:r w:rsidR="00D73AFA">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can thus be reframed as more than everyday weapons of resistance: they become methodological and theoretical tools in their own right. The various livelihood strategies described are no longer forms of strategic survival or simple example</w:t>
      </w:r>
      <w:r w:rsidR="002961B6" w:rsidRPr="00A53258">
        <w:rPr>
          <w:rFonts w:ascii="Gill Sans MT" w:eastAsia="Times New Roman" w:hAnsi="Gill Sans MT" w:cs="Times New Roman"/>
          <w:kern w:val="0"/>
          <w14:ligatures w14:val="none"/>
        </w:rPr>
        <w:t>s</w:t>
      </w:r>
      <w:r w:rsidRPr="00A53258">
        <w:rPr>
          <w:rFonts w:ascii="Gill Sans MT" w:eastAsia="Times New Roman" w:hAnsi="Gill Sans MT" w:cs="Times New Roman"/>
          <w:kern w:val="0"/>
          <w14:ligatures w14:val="none"/>
        </w:rPr>
        <w:t xml:space="preserve"> of relational citizenship for Point </w:t>
      </w:r>
      <w:r w:rsidR="002961B6" w:rsidRPr="00A53258">
        <w:rPr>
          <w:rFonts w:ascii="Gill Sans MT" w:eastAsia="Times New Roman" w:hAnsi="Gill Sans MT" w:cs="Times New Roman"/>
          <w:kern w:val="0"/>
          <w14:ligatures w14:val="none"/>
        </w:rPr>
        <w:t>women but</w:t>
      </w:r>
      <w:r w:rsidRPr="00A53258">
        <w:rPr>
          <w:rFonts w:ascii="Gill Sans MT" w:eastAsia="Times New Roman" w:hAnsi="Gill Sans MT" w:cs="Times New Roman"/>
          <w:kern w:val="0"/>
          <w14:ligatures w14:val="none"/>
        </w:rPr>
        <w:t xml:space="preserve"> become the way through which we should rethink the category of citizenship itself. </w:t>
      </w:r>
    </w:p>
    <w:p w14:paraId="303F546B" w14:textId="16DA3A1E" w:rsidR="47B2BD71" w:rsidRPr="00A53258" w:rsidRDefault="00B3365D" w:rsidP="00A443D5">
      <w:pPr>
        <w:spacing w:after="0" w:line="240" w:lineRule="auto"/>
        <w:ind w:firstLine="720"/>
        <w:jc w:val="both"/>
        <w:rPr>
          <w:rFonts w:ascii="Gill Sans MT" w:eastAsia="Times New Roman" w:hAnsi="Gill Sans MT" w:cs="Times New Roman"/>
          <w:kern w:val="0"/>
          <w14:ligatures w14:val="none"/>
        </w:rPr>
      </w:pPr>
      <w:r w:rsidRPr="00A53258">
        <w:rPr>
          <w:rFonts w:ascii="Gill Sans MT" w:eastAsia="Times New Roman" w:hAnsi="Gill Sans MT" w:cs="Times New Roman"/>
          <w:kern w:val="0"/>
          <w14:ligatures w14:val="none"/>
        </w:rPr>
        <w:t xml:space="preserve">Overall, the historical depth of its highly textured ethnographic material makes </w:t>
      </w:r>
      <w:r w:rsidRPr="00A53258">
        <w:rPr>
          <w:rFonts w:ascii="Gill Sans MT" w:eastAsia="Times New Roman" w:hAnsi="Gill Sans MT" w:cs="Times New Roman"/>
          <w:i/>
          <w:iCs/>
          <w:kern w:val="0"/>
          <w14:ligatures w14:val="none"/>
        </w:rPr>
        <w:t xml:space="preserve">Reworking </w:t>
      </w:r>
      <w:r w:rsidR="00D73AFA">
        <w:rPr>
          <w:rFonts w:ascii="Gill Sans MT" w:eastAsia="Times New Roman" w:hAnsi="Gill Sans MT" w:cs="Times New Roman"/>
          <w:i/>
          <w:iCs/>
          <w:kern w:val="0"/>
          <w14:ligatures w14:val="none"/>
        </w:rPr>
        <w:t>c</w:t>
      </w:r>
      <w:r w:rsidRPr="00A53258">
        <w:rPr>
          <w:rFonts w:ascii="Gill Sans MT" w:eastAsia="Times New Roman" w:hAnsi="Gill Sans MT" w:cs="Times New Roman"/>
          <w:i/>
          <w:iCs/>
          <w:kern w:val="0"/>
          <w14:ligatures w14:val="none"/>
        </w:rPr>
        <w:t xml:space="preserve">itizenship </w:t>
      </w:r>
      <w:r w:rsidRPr="00A53258">
        <w:rPr>
          <w:rFonts w:ascii="Gill Sans MT" w:eastAsia="Times New Roman" w:hAnsi="Gill Sans MT" w:cs="Times New Roman"/>
          <w:kern w:val="0"/>
          <w14:ligatures w14:val="none"/>
        </w:rPr>
        <w:t xml:space="preserve">a well-considered template for studies of South Africa and offers rich comparative perspectives for scholars deconstructing the rigid categories of citizenship more generally. Understanding social reproduction through the mobilisation of race, class, and the increasingly politicised category of motherhood is essential to seeing inequities only visible when considering </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citizenship as lived</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(204). Relational citizenship, wherein Point mothers </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demanded collective recognition that they were not just autonomous subjects but relational persons</w:t>
      </w:r>
      <w:r w:rsidR="002961B6" w:rsidRPr="00A53258">
        <w:rPr>
          <w:rFonts w:ascii="Gill Sans MT" w:eastAsia="Times New Roman" w:hAnsi="Gill Sans MT" w:cs="Times New Roman"/>
          <w:kern w:val="0"/>
          <w14:ligatures w14:val="none"/>
        </w:rPr>
        <w:t>’</w:t>
      </w:r>
      <w:r w:rsidRPr="00A53258">
        <w:rPr>
          <w:rFonts w:ascii="Gill Sans MT" w:eastAsia="Times New Roman" w:hAnsi="Gill Sans MT" w:cs="Times New Roman"/>
          <w:kern w:val="0"/>
          <w14:ligatures w14:val="none"/>
        </w:rPr>
        <w:t xml:space="preserve"> (32), provides a framework for subverting a Foucauldian governmentality that seeks to isolate political subjects. Yet, the richness of </w:t>
      </w:r>
      <w:r w:rsidRPr="00A53258">
        <w:rPr>
          <w:rFonts w:ascii="Gill Sans MT" w:eastAsia="Times New Roman" w:hAnsi="Gill Sans MT" w:cs="Times New Roman"/>
          <w:i/>
          <w:iCs/>
          <w:kern w:val="0"/>
          <w14:ligatures w14:val="none"/>
        </w:rPr>
        <w:t xml:space="preserve">Reworking </w:t>
      </w:r>
      <w:r w:rsidR="00D73AFA">
        <w:rPr>
          <w:rFonts w:ascii="Gill Sans MT" w:eastAsia="Times New Roman" w:hAnsi="Gill Sans MT" w:cs="Times New Roman"/>
          <w:i/>
          <w:iCs/>
          <w:kern w:val="0"/>
          <w14:ligatures w14:val="none"/>
        </w:rPr>
        <w:t>c</w:t>
      </w:r>
      <w:r w:rsidRPr="00A53258">
        <w:rPr>
          <w:rFonts w:ascii="Gill Sans MT" w:eastAsia="Times New Roman" w:hAnsi="Gill Sans MT" w:cs="Times New Roman"/>
          <w:i/>
          <w:iCs/>
          <w:kern w:val="0"/>
          <w14:ligatures w14:val="none"/>
        </w:rPr>
        <w:t xml:space="preserve">itizenship </w:t>
      </w:r>
      <w:r w:rsidRPr="00A53258">
        <w:rPr>
          <w:rFonts w:ascii="Gill Sans MT" w:eastAsia="Times New Roman" w:hAnsi="Gill Sans MT" w:cs="Times New Roman"/>
          <w:kern w:val="0"/>
          <w14:ligatures w14:val="none"/>
        </w:rPr>
        <w:t xml:space="preserve">often dampens its </w:t>
      </w:r>
      <w:r w:rsidRPr="00A53258">
        <w:rPr>
          <w:rFonts w:ascii="Gill Sans MT" w:eastAsia="Times New Roman" w:hAnsi="Gill Sans MT" w:cs="Times New Roman"/>
          <w:kern w:val="0"/>
          <w14:ligatures w14:val="none"/>
        </w:rPr>
        <w:lastRenderedPageBreak/>
        <w:t xml:space="preserve">theoretical potential, leaving the reader contemplating the emptiness of a promised citizenship instead of embracing the productivity inherent in its incompleteness. </w:t>
      </w:r>
    </w:p>
    <w:p w14:paraId="197E4986" w14:textId="77777777" w:rsidR="002961B6" w:rsidRPr="00A53258" w:rsidRDefault="002961B6" w:rsidP="00A443D5">
      <w:pPr>
        <w:spacing w:after="0" w:line="240" w:lineRule="auto"/>
        <w:jc w:val="both"/>
        <w:rPr>
          <w:rFonts w:ascii="Gill Sans MT" w:eastAsia="Gill Sans MT" w:hAnsi="Gill Sans MT" w:cs="Gill Sans MT"/>
          <w:color w:val="000000"/>
          <w:lang w:val="en-US"/>
        </w:rPr>
      </w:pPr>
    </w:p>
    <w:p w14:paraId="73F79D5C" w14:textId="77777777" w:rsidR="00A443D5" w:rsidRPr="00A53258" w:rsidRDefault="00A443D5" w:rsidP="00A443D5">
      <w:pPr>
        <w:spacing w:after="0" w:line="240" w:lineRule="auto"/>
        <w:jc w:val="both"/>
        <w:rPr>
          <w:rFonts w:ascii="Gill Sans MT" w:eastAsia="Gill Sans MT" w:hAnsi="Gill Sans MT" w:cs="Gill Sans MT"/>
          <w:color w:val="000000"/>
          <w:lang w:val="en-US"/>
        </w:rPr>
      </w:pPr>
    </w:p>
    <w:p w14:paraId="2143A84F" w14:textId="70E843CF" w:rsidR="00B3365D" w:rsidRPr="00A53258" w:rsidRDefault="002961B6" w:rsidP="00A443D5">
      <w:pPr>
        <w:spacing w:after="0" w:line="240" w:lineRule="auto"/>
        <w:jc w:val="both"/>
        <w:rPr>
          <w:rFonts w:ascii="Gill Sans MT" w:eastAsia="Calibri" w:hAnsi="Gill Sans MT" w:cs="Arial"/>
        </w:rPr>
      </w:pPr>
      <w:r w:rsidRPr="00A53258">
        <w:rPr>
          <w:rFonts w:ascii="Gill Sans MT" w:eastAsia="Gill Sans MT" w:hAnsi="Gill Sans MT" w:cs="Gill Sans MT"/>
          <w:b/>
          <w:bCs/>
          <w:color w:val="000000"/>
          <w:sz w:val="28"/>
          <w:szCs w:val="28"/>
          <w:lang w:val="en-US"/>
        </w:rPr>
        <w:t>Bibliography</w:t>
      </w:r>
    </w:p>
    <w:p w14:paraId="6C20406B" w14:textId="77777777" w:rsidR="00A443D5" w:rsidRPr="00A53258" w:rsidRDefault="00A443D5" w:rsidP="00A443D5">
      <w:pPr>
        <w:spacing w:after="0" w:line="240" w:lineRule="auto"/>
        <w:jc w:val="both"/>
        <w:rPr>
          <w:rFonts w:ascii="Gill Sans MT" w:eastAsia="Times New Roman" w:hAnsi="Gill Sans MT" w:cs="Times New Roman"/>
          <w:kern w:val="0"/>
          <w14:ligatures w14:val="none"/>
        </w:rPr>
      </w:pPr>
    </w:p>
    <w:p w14:paraId="386DCAE6" w14:textId="77777777" w:rsidR="00A443D5" w:rsidRPr="00A53258" w:rsidRDefault="005134F6" w:rsidP="00A443D5">
      <w:pPr>
        <w:spacing w:after="0" w:line="240" w:lineRule="auto"/>
        <w:jc w:val="both"/>
        <w:rPr>
          <w:rFonts w:ascii="Gill Sans MT" w:eastAsia="Times New Roman" w:hAnsi="Gill Sans MT" w:cs="Times New Roman"/>
          <w:kern w:val="0"/>
          <w:shd w:val="clear" w:color="auto" w:fill="FFFFFF"/>
          <w14:ligatures w14:val="none"/>
        </w:rPr>
      </w:pPr>
      <w:r w:rsidRPr="00A53258">
        <w:rPr>
          <w:rFonts w:ascii="Gill Sans MT" w:eastAsia="Times New Roman" w:hAnsi="Gill Sans MT" w:cs="Times New Roman"/>
          <w:kern w:val="0"/>
          <w14:ligatures w14:val="none"/>
        </w:rPr>
        <w:t xml:space="preserve">Brown, Wendy 2015. </w:t>
      </w:r>
      <w:r w:rsidR="00B3365D" w:rsidRPr="00A53258">
        <w:rPr>
          <w:rFonts w:ascii="Gill Sans MT" w:eastAsia="Times New Roman" w:hAnsi="Gill Sans MT" w:cs="Times New Roman"/>
          <w:i/>
          <w:iCs/>
          <w:kern w:val="0"/>
          <w14:ligatures w14:val="none"/>
        </w:rPr>
        <w:t>Undoing the demos: neoliberalism’s stealth revolution</w:t>
      </w:r>
      <w:r w:rsidR="00B3365D" w:rsidRPr="00A53258">
        <w:rPr>
          <w:rFonts w:ascii="Gill Sans MT" w:eastAsia="Times New Roman" w:hAnsi="Gill Sans MT" w:cs="Times New Roman"/>
          <w:kern w:val="0"/>
          <w:shd w:val="clear" w:color="auto" w:fill="FFFFFF"/>
          <w14:ligatures w14:val="none"/>
        </w:rPr>
        <w:t xml:space="preserve">. Brooklyn, New </w:t>
      </w:r>
      <w:r w:rsidRPr="00A53258">
        <w:rPr>
          <w:rFonts w:ascii="Gill Sans MT" w:eastAsia="Times New Roman" w:hAnsi="Gill Sans MT" w:cs="Times New Roman"/>
          <w:kern w:val="0"/>
          <w:shd w:val="clear" w:color="auto" w:fill="FFFFFF"/>
          <w14:ligatures w14:val="none"/>
        </w:rPr>
        <w:t>York</w:t>
      </w:r>
      <w:r w:rsidR="00A443D5" w:rsidRPr="00A53258">
        <w:rPr>
          <w:rFonts w:ascii="Gill Sans MT" w:eastAsia="Times New Roman" w:hAnsi="Gill Sans MT" w:cs="Times New Roman"/>
          <w:kern w:val="0"/>
          <w:shd w:val="clear" w:color="auto" w:fill="FFFFFF"/>
          <w14:ligatures w14:val="none"/>
        </w:rPr>
        <w:t xml:space="preserve">: </w:t>
      </w:r>
      <w:r w:rsidRPr="00A53258">
        <w:rPr>
          <w:rFonts w:ascii="Gill Sans MT" w:eastAsia="Times New Roman" w:hAnsi="Gill Sans MT" w:cs="Times New Roman"/>
          <w:kern w:val="0"/>
          <w:shd w:val="clear" w:color="auto" w:fill="FFFFFF"/>
          <w14:ligatures w14:val="none"/>
        </w:rPr>
        <w:t>Zone Books</w:t>
      </w:r>
    </w:p>
    <w:p w14:paraId="3A3A2AD1" w14:textId="77777777" w:rsidR="00A443D5" w:rsidRPr="00A53258" w:rsidRDefault="005134F6" w:rsidP="00A443D5">
      <w:pPr>
        <w:spacing w:after="0" w:line="240" w:lineRule="auto"/>
        <w:jc w:val="both"/>
        <w:rPr>
          <w:rFonts w:ascii="Gill Sans MT" w:eastAsia="Times New Roman" w:hAnsi="Gill Sans MT" w:cs="Times New Roman"/>
          <w:kern w:val="0"/>
          <w14:ligatures w14:val="none"/>
        </w:rPr>
      </w:pPr>
      <w:r w:rsidRPr="00A53258">
        <w:rPr>
          <w:rFonts w:ascii="Gill Sans MT" w:hAnsi="Gill Sans MT"/>
        </w:rPr>
        <w:br/>
      </w:r>
      <w:r w:rsidR="00B3365D" w:rsidRPr="00A53258">
        <w:rPr>
          <w:rFonts w:ascii="Gill Sans MT" w:eastAsia="Times New Roman" w:hAnsi="Gill Sans MT" w:cs="Times New Roman"/>
          <w:kern w:val="0"/>
          <w14:ligatures w14:val="none"/>
        </w:rPr>
        <w:t xml:space="preserve">Kelly, Tobias 2013. A life less miserable? </w:t>
      </w:r>
      <w:r w:rsidR="00B3365D" w:rsidRPr="00A53258">
        <w:rPr>
          <w:rFonts w:ascii="Gill Sans MT" w:eastAsia="Times New Roman" w:hAnsi="Gill Sans MT" w:cs="Times New Roman"/>
          <w:i/>
          <w:iCs/>
          <w:kern w:val="0"/>
          <w14:ligatures w14:val="none"/>
        </w:rPr>
        <w:t xml:space="preserve">HAU: Journal of Ethnographic Theory </w:t>
      </w:r>
      <w:r w:rsidR="00B3365D" w:rsidRPr="00A53258">
        <w:rPr>
          <w:rFonts w:ascii="Gill Sans MT" w:eastAsia="Times New Roman" w:hAnsi="Gill Sans MT" w:cs="Times New Roman"/>
          <w:kern w:val="0"/>
          <w:shd w:val="clear" w:color="auto" w:fill="FFFFFF"/>
          <w14:ligatures w14:val="none"/>
        </w:rPr>
        <w:t xml:space="preserve">3/1, 213–16. </w:t>
      </w:r>
      <w:proofErr w:type="spellStart"/>
      <w:r w:rsidR="00A443D5" w:rsidRPr="00A53258">
        <w:rPr>
          <w:rFonts w:ascii="Gill Sans MT" w:eastAsia="Times New Roman" w:hAnsi="Gill Sans MT" w:cs="Times New Roman"/>
          <w:kern w:val="0"/>
          <w14:ligatures w14:val="none"/>
        </w:rPr>
        <w:t>d</w:t>
      </w:r>
      <w:r w:rsidR="00B3365D" w:rsidRPr="00A53258">
        <w:rPr>
          <w:rFonts w:ascii="Gill Sans MT" w:eastAsia="Times New Roman" w:hAnsi="Gill Sans MT" w:cs="Times New Roman"/>
          <w:kern w:val="0"/>
          <w14:ligatures w14:val="none"/>
        </w:rPr>
        <w:t>oi</w:t>
      </w:r>
      <w:proofErr w:type="spellEnd"/>
      <w:r w:rsidR="00B3365D" w:rsidRPr="00A53258">
        <w:rPr>
          <w:rFonts w:ascii="Gill Sans MT" w:eastAsia="Times New Roman" w:hAnsi="Gill Sans MT" w:cs="Times New Roman"/>
          <w:kern w:val="0"/>
          <w14:ligatures w14:val="none"/>
        </w:rPr>
        <w:t>: 10.14318/hau3.1.020.</w:t>
      </w:r>
      <w:r w:rsidR="00B3365D" w:rsidRPr="00A53258">
        <w:rPr>
          <w:rFonts w:ascii="Gill Sans MT" w:eastAsia="Times New Roman" w:hAnsi="Gill Sans MT" w:cs="Times New Roman"/>
          <w:kern w:val="0"/>
          <w14:ligatures w14:val="none"/>
        </w:rPr>
        <w:br/>
      </w:r>
      <w:r w:rsidRPr="00A53258">
        <w:rPr>
          <w:rFonts w:ascii="Gill Sans MT" w:hAnsi="Gill Sans MT"/>
        </w:rPr>
        <w:br/>
      </w:r>
      <w:proofErr w:type="spellStart"/>
      <w:r w:rsidR="00B3365D" w:rsidRPr="00A53258">
        <w:rPr>
          <w:rFonts w:ascii="Gill Sans MT" w:eastAsia="Times New Roman" w:hAnsi="Gill Sans MT" w:cs="Times New Roman"/>
          <w:kern w:val="0"/>
          <w14:ligatures w14:val="none"/>
        </w:rPr>
        <w:t>Nyamnjoh</w:t>
      </w:r>
      <w:proofErr w:type="spellEnd"/>
      <w:r w:rsidR="00B3365D" w:rsidRPr="00A53258">
        <w:rPr>
          <w:rFonts w:ascii="Gill Sans MT" w:eastAsia="Times New Roman" w:hAnsi="Gill Sans MT" w:cs="Times New Roman"/>
          <w:kern w:val="0"/>
          <w14:ligatures w14:val="none"/>
        </w:rPr>
        <w:t xml:space="preserve">, Francis B. 2022. Citizenship, incompleteness and mobility, </w:t>
      </w:r>
      <w:r w:rsidR="00B3365D" w:rsidRPr="00A53258">
        <w:rPr>
          <w:rFonts w:ascii="Gill Sans MT" w:eastAsia="Times New Roman" w:hAnsi="Gill Sans MT" w:cs="Times New Roman"/>
          <w:i/>
          <w:iCs/>
          <w:kern w:val="0"/>
          <w14:ligatures w14:val="none"/>
        </w:rPr>
        <w:t xml:space="preserve">Citizenship Studies </w:t>
      </w:r>
      <w:r w:rsidR="00B3365D" w:rsidRPr="00A53258">
        <w:rPr>
          <w:rFonts w:ascii="Gill Sans MT" w:eastAsia="Times New Roman" w:hAnsi="Gill Sans MT" w:cs="Times New Roman"/>
          <w:kern w:val="0"/>
          <w14:ligatures w14:val="none"/>
        </w:rPr>
        <w:t xml:space="preserve">26/4-5, 592-598. </w:t>
      </w:r>
      <w:proofErr w:type="spellStart"/>
      <w:r w:rsidR="00B3365D" w:rsidRPr="00A53258">
        <w:rPr>
          <w:rFonts w:ascii="Gill Sans MT" w:eastAsia="Times New Roman" w:hAnsi="Gill Sans MT" w:cs="Times New Roman"/>
          <w:kern w:val="0"/>
          <w14:ligatures w14:val="none"/>
        </w:rPr>
        <w:t>doi</w:t>
      </w:r>
      <w:proofErr w:type="spellEnd"/>
      <w:r w:rsidR="00B3365D" w:rsidRPr="00A53258">
        <w:rPr>
          <w:rFonts w:ascii="Gill Sans MT" w:eastAsia="Times New Roman" w:hAnsi="Gill Sans MT" w:cs="Times New Roman"/>
          <w:kern w:val="0"/>
          <w14:ligatures w14:val="none"/>
        </w:rPr>
        <w:t xml:space="preserve">: 10.1080/13621025.2022.2091243. </w:t>
      </w:r>
    </w:p>
    <w:p w14:paraId="6620A757" w14:textId="6489661F" w:rsidR="002961B6" w:rsidRPr="00A53258" w:rsidRDefault="005134F6" w:rsidP="00A443D5">
      <w:pPr>
        <w:spacing w:after="0" w:line="240" w:lineRule="auto"/>
        <w:jc w:val="both"/>
        <w:rPr>
          <w:rFonts w:ascii="Gill Sans MT" w:eastAsia="Times New Roman" w:hAnsi="Gill Sans MT" w:cs="Times New Roman"/>
          <w:kern w:val="0"/>
          <w:shd w:val="clear" w:color="auto" w:fill="FFFFFF"/>
          <w14:ligatures w14:val="none"/>
        </w:rPr>
      </w:pPr>
      <w:r w:rsidRPr="00A53258">
        <w:rPr>
          <w:rFonts w:ascii="Gill Sans MT" w:hAnsi="Gill Sans MT"/>
        </w:rPr>
        <w:br/>
      </w:r>
      <w:r w:rsidR="00B3365D" w:rsidRPr="00A53258">
        <w:rPr>
          <w:rFonts w:ascii="Gill Sans MT" w:eastAsia="Times New Roman" w:hAnsi="Gill Sans MT" w:cs="Times New Roman"/>
          <w:kern w:val="0"/>
          <w14:ligatures w14:val="none"/>
        </w:rPr>
        <w:t xml:space="preserve">Ortner, Sherry B. 2016. Dark anthropology and its others: theory since the eighties, </w:t>
      </w:r>
      <w:r w:rsidR="00B3365D" w:rsidRPr="00A53258">
        <w:rPr>
          <w:rFonts w:ascii="Gill Sans MT" w:eastAsia="Times New Roman" w:hAnsi="Gill Sans MT" w:cs="Times New Roman"/>
          <w:i/>
          <w:iCs/>
          <w:kern w:val="0"/>
          <w14:ligatures w14:val="none"/>
        </w:rPr>
        <w:t xml:space="preserve">HAU: Journal of Ethnographic Theory </w:t>
      </w:r>
      <w:r w:rsidR="00B3365D" w:rsidRPr="00A53258">
        <w:rPr>
          <w:rFonts w:ascii="Gill Sans MT" w:eastAsia="Times New Roman" w:hAnsi="Gill Sans MT" w:cs="Times New Roman"/>
          <w:kern w:val="0"/>
          <w14:ligatures w14:val="none"/>
        </w:rPr>
        <w:t xml:space="preserve">6/1, 47-73. </w:t>
      </w:r>
      <w:proofErr w:type="spellStart"/>
      <w:r w:rsidR="00B3365D" w:rsidRPr="00A53258">
        <w:rPr>
          <w:rFonts w:ascii="Gill Sans MT" w:eastAsia="Times New Roman" w:hAnsi="Gill Sans MT" w:cs="Times New Roman"/>
          <w:kern w:val="0"/>
          <w14:ligatures w14:val="none"/>
        </w:rPr>
        <w:t>doi</w:t>
      </w:r>
      <w:proofErr w:type="spellEnd"/>
      <w:r w:rsidR="00B3365D" w:rsidRPr="00A53258">
        <w:rPr>
          <w:rFonts w:ascii="Gill Sans MT" w:eastAsia="Times New Roman" w:hAnsi="Gill Sans MT" w:cs="Times New Roman"/>
          <w:kern w:val="0"/>
          <w14:ligatures w14:val="none"/>
        </w:rPr>
        <w:t>: 10.14318/hau6.1.004</w:t>
      </w:r>
      <w:r w:rsidR="00A443D5" w:rsidRPr="00A53258">
        <w:rPr>
          <w:rFonts w:ascii="Gill Sans MT" w:eastAsia="Times New Roman" w:hAnsi="Gill Sans MT" w:cs="Times New Roman"/>
          <w:kern w:val="0"/>
          <w14:ligatures w14:val="none"/>
        </w:rPr>
        <w:t>.</w:t>
      </w:r>
    </w:p>
    <w:p w14:paraId="3CC7B858" w14:textId="77777777" w:rsidR="00A443D5" w:rsidRPr="00A53258" w:rsidRDefault="00A443D5" w:rsidP="00A443D5">
      <w:pPr>
        <w:spacing w:after="0" w:line="240" w:lineRule="auto"/>
        <w:jc w:val="both"/>
        <w:rPr>
          <w:rFonts w:ascii="Gill Sans MT" w:eastAsia="Times New Roman" w:hAnsi="Gill Sans MT" w:cs="Times New Roman"/>
          <w:kern w:val="0"/>
          <w14:ligatures w14:val="none"/>
        </w:rPr>
      </w:pPr>
    </w:p>
    <w:p w14:paraId="58B614BE" w14:textId="77777777" w:rsidR="009B7110" w:rsidRPr="00A53258" w:rsidRDefault="009B7110" w:rsidP="00A443D5">
      <w:pPr>
        <w:spacing w:after="0" w:line="240" w:lineRule="auto"/>
        <w:jc w:val="both"/>
        <w:rPr>
          <w:rFonts w:ascii="Gill Sans MT" w:eastAsia="Times New Roman" w:hAnsi="Gill Sans MT" w:cs="Times New Roman"/>
          <w:kern w:val="0"/>
          <w14:ligatures w14:val="none"/>
        </w:rPr>
      </w:pPr>
    </w:p>
    <w:p w14:paraId="0DC09424" w14:textId="77777777" w:rsidR="002961B6" w:rsidRPr="00A53258" w:rsidRDefault="002961B6" w:rsidP="00A443D5">
      <w:pPr>
        <w:spacing w:after="0" w:line="240" w:lineRule="auto"/>
        <w:jc w:val="both"/>
        <w:rPr>
          <w:rFonts w:ascii="Gill Sans MT" w:eastAsia="PMingLiU" w:hAnsi="Gill Sans MT" w:cs="Arial"/>
          <w:lang w:eastAsia="zh-TW"/>
        </w:rPr>
      </w:pPr>
      <w:r w:rsidRPr="00A53258">
        <w:rPr>
          <w:rFonts w:ascii="Gill Sans MT" w:eastAsia="PMingLiU" w:hAnsi="Gill Sans MT" w:cs="Arial"/>
          <w:noProof/>
          <w:lang w:val="en-US"/>
        </w:rPr>
        <mc:AlternateContent>
          <mc:Choice Requires="wps">
            <w:drawing>
              <wp:anchor distT="0" distB="0" distL="114300" distR="114300" simplePos="0" relativeHeight="251659264" behindDoc="0" locked="0" layoutInCell="1" allowOverlap="1" wp14:anchorId="0923FE13" wp14:editId="44D6E33D">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BCB5BA3"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44B592D6" w14:textId="4767140E" w:rsidR="00A443D5" w:rsidRPr="00A53258" w:rsidRDefault="002961B6" w:rsidP="00A443D5">
      <w:pPr>
        <w:spacing w:after="0" w:line="240" w:lineRule="auto"/>
        <w:jc w:val="both"/>
        <w:rPr>
          <w:rFonts w:ascii="Gill Sans MT" w:eastAsia="Gill Sans MT" w:hAnsi="Gill Sans MT" w:cs="Gill Sans MT"/>
          <w:color w:val="000000"/>
          <w:lang w:val="en-US"/>
        </w:rPr>
      </w:pPr>
      <w:r w:rsidRPr="00A53258">
        <w:rPr>
          <w:rFonts w:ascii="Gill Sans MT" w:eastAsia="Gill Sans MT" w:hAnsi="Gill Sans MT" w:cs="Gill Sans MT"/>
          <w:color w:val="000000"/>
          <w:lang w:val="en-US"/>
        </w:rPr>
        <w:t xml:space="preserve">This work is copyright of the author. </w:t>
      </w:r>
    </w:p>
    <w:p w14:paraId="136DDE45" w14:textId="77777777" w:rsidR="00A443D5" w:rsidRPr="00A53258" w:rsidRDefault="00A443D5" w:rsidP="00A443D5">
      <w:pPr>
        <w:spacing w:after="0" w:line="240" w:lineRule="auto"/>
        <w:jc w:val="both"/>
        <w:rPr>
          <w:rFonts w:ascii="Gill Sans MT" w:eastAsia="Gill Sans MT" w:hAnsi="Gill Sans MT" w:cs="Gill Sans MT"/>
          <w:color w:val="000000"/>
          <w:lang w:val="en-US"/>
        </w:rPr>
      </w:pPr>
    </w:p>
    <w:p w14:paraId="2FFFF342" w14:textId="04CEFA88" w:rsidR="002961B6" w:rsidRPr="00A53258" w:rsidRDefault="002961B6" w:rsidP="00A443D5">
      <w:pPr>
        <w:spacing w:after="0" w:line="240" w:lineRule="auto"/>
        <w:jc w:val="both"/>
        <w:rPr>
          <w:rFonts w:ascii="Gill Sans MT" w:hAnsi="Gill Sans MT"/>
        </w:rPr>
      </w:pPr>
      <w:r w:rsidRPr="00A53258">
        <w:rPr>
          <w:rFonts w:ascii="Gill Sans MT" w:eastAsia="Gill Sans MT" w:hAnsi="Gill Sans MT" w:cs="Gill Sans MT"/>
          <w:color w:val="000000"/>
          <w:lang w:val="en-US"/>
        </w:rPr>
        <w:t>It has been published by JASO under a Creative Commons Attribution-</w:t>
      </w:r>
      <w:proofErr w:type="spellStart"/>
      <w:r w:rsidRPr="00A53258">
        <w:rPr>
          <w:rFonts w:ascii="Gill Sans MT" w:eastAsia="Gill Sans MT" w:hAnsi="Gill Sans MT" w:cs="Gill Sans MT"/>
          <w:color w:val="000000"/>
          <w:lang w:val="en-US"/>
        </w:rPr>
        <w:t>NonCommercial</w:t>
      </w:r>
      <w:proofErr w:type="spellEnd"/>
      <w:r w:rsidRPr="00A53258">
        <w:rPr>
          <w:rFonts w:ascii="Gill Sans MT" w:eastAsia="Gill Sans MT" w:hAnsi="Gill Sans MT" w:cs="Gill Sans MT"/>
          <w:color w:val="000000"/>
          <w:lang w:val="en-US"/>
        </w:rPr>
        <w:t>-</w:t>
      </w:r>
      <w:proofErr w:type="spellStart"/>
      <w:r w:rsidRPr="00A53258">
        <w:rPr>
          <w:rFonts w:ascii="Gill Sans MT" w:eastAsia="Gill Sans MT" w:hAnsi="Gill Sans MT" w:cs="Gill Sans MT"/>
          <w:color w:val="000000"/>
          <w:lang w:val="en-US"/>
        </w:rPr>
        <w:t>NonDerivatives</w:t>
      </w:r>
      <w:proofErr w:type="spellEnd"/>
      <w:r w:rsidRPr="00A53258">
        <w:rPr>
          <w:rFonts w:ascii="Gill Sans MT" w:eastAsia="Gill Sans MT" w:hAnsi="Gill Sans MT" w:cs="Gill Sans MT"/>
          <w:color w:val="000000"/>
          <w:lang w:val="en-US"/>
        </w:rPr>
        <w:t xml:space="preserve"> </w:t>
      </w:r>
      <w:proofErr w:type="spellStart"/>
      <w:r w:rsidRPr="00A53258">
        <w:rPr>
          <w:rFonts w:ascii="Gill Sans MT" w:eastAsia="Gill Sans MT" w:hAnsi="Gill Sans MT" w:cs="Gill Sans MT"/>
          <w:color w:val="000000"/>
          <w:lang w:val="en-US"/>
        </w:rPr>
        <w:t>ShareAlike</w:t>
      </w:r>
      <w:proofErr w:type="spellEnd"/>
      <w:r w:rsidRPr="00A53258">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8" w:history="1">
        <w:r w:rsidRPr="00A53258">
          <w:rPr>
            <w:rFonts w:ascii="Gill Sans MT" w:eastAsia="Calibri" w:hAnsi="Gill Sans MT" w:cs="Arial"/>
            <w:color w:val="0563C1"/>
            <w:u w:val="single"/>
          </w:rPr>
          <w:t>https://creativecommons.org/licenses/by-nc-nd/4.0/</w:t>
        </w:r>
      </w:hyperlink>
      <w:r w:rsidRPr="00A53258">
        <w:rPr>
          <w:rFonts w:ascii="Gill Sans MT" w:eastAsia="Gill Sans MT" w:hAnsi="Gill Sans MT" w:cs="Gill Sans MT"/>
          <w:color w:val="000000"/>
          <w:lang w:val="en-US"/>
        </w:rPr>
        <w:t>)</w:t>
      </w:r>
    </w:p>
    <w:p w14:paraId="40B8B63C" w14:textId="77777777" w:rsidR="00A443D5" w:rsidRPr="00A53258" w:rsidRDefault="00A443D5" w:rsidP="00A443D5">
      <w:pPr>
        <w:spacing w:after="0" w:line="240" w:lineRule="auto"/>
        <w:rPr>
          <w:rFonts w:ascii="Gill Sans MT" w:hAnsi="Gill Sans MT"/>
        </w:rPr>
      </w:pPr>
    </w:p>
    <w:p w14:paraId="3485BB6A" w14:textId="2A70B411" w:rsidR="006E5309" w:rsidRPr="00A53258" w:rsidRDefault="00A443D5" w:rsidP="00A443D5">
      <w:pPr>
        <w:spacing w:after="0" w:line="240" w:lineRule="auto"/>
        <w:jc w:val="center"/>
        <w:rPr>
          <w:rFonts w:ascii="Gill Sans MT" w:hAnsi="Gill Sans MT"/>
        </w:rPr>
      </w:pPr>
      <w:r w:rsidRPr="00A53258">
        <w:rPr>
          <w:rFonts w:ascii="Gill Sans MT" w:eastAsia="MS Mincho" w:hAnsi="Gill Sans MT" w:cs="Arial"/>
          <w:noProof/>
          <w:lang w:val="en-US" w:eastAsia="zh-CN"/>
        </w:rPr>
        <w:drawing>
          <wp:inline distT="0" distB="0" distL="0" distR="0" wp14:anchorId="218676D2" wp14:editId="0955528D">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6E5309" w:rsidRPr="00A53258" w:rsidSect="003F198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fmt="numberInDash" w:start="1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77C7" w14:textId="77777777" w:rsidR="00577C83" w:rsidRDefault="00577C83" w:rsidP="005134F6">
      <w:pPr>
        <w:spacing w:after="0" w:line="240" w:lineRule="auto"/>
      </w:pPr>
      <w:r>
        <w:separator/>
      </w:r>
    </w:p>
  </w:endnote>
  <w:endnote w:type="continuationSeparator" w:id="0">
    <w:p w14:paraId="1F663453" w14:textId="77777777" w:rsidR="00577C83" w:rsidRDefault="00577C83" w:rsidP="00513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97E7" w14:textId="77777777" w:rsidR="003F1982" w:rsidRDefault="003F1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1255787671"/>
      <w:docPartObj>
        <w:docPartGallery w:val="Page Numbers (Bottom of Page)"/>
        <w:docPartUnique/>
      </w:docPartObj>
    </w:sdtPr>
    <w:sdtEndPr>
      <w:rPr>
        <w:noProof/>
      </w:rPr>
    </w:sdtEndPr>
    <w:sdtContent>
      <w:p w14:paraId="7AA4D1B5" w14:textId="40C4A6A3" w:rsidR="00A443D5" w:rsidRPr="003D5B51" w:rsidRDefault="00A443D5" w:rsidP="00A443D5">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4A7D6DF5" w14:textId="77777777" w:rsidR="00A443D5" w:rsidRDefault="00A44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185C" w14:textId="77777777" w:rsidR="003F1982" w:rsidRDefault="003F1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392B" w14:textId="77777777" w:rsidR="00577C83" w:rsidRDefault="00577C83" w:rsidP="005134F6">
      <w:pPr>
        <w:spacing w:after="0" w:line="240" w:lineRule="auto"/>
      </w:pPr>
      <w:r>
        <w:separator/>
      </w:r>
    </w:p>
  </w:footnote>
  <w:footnote w:type="continuationSeparator" w:id="0">
    <w:p w14:paraId="50CAE800" w14:textId="77777777" w:rsidR="00577C83" w:rsidRDefault="00577C83" w:rsidP="005134F6">
      <w:pPr>
        <w:spacing w:after="0" w:line="240" w:lineRule="auto"/>
      </w:pPr>
      <w:r>
        <w:continuationSeparator/>
      </w:r>
    </w:p>
  </w:footnote>
  <w:footnote w:id="1">
    <w:p w14:paraId="6245FEB5" w14:textId="1A2869FF" w:rsidR="005134F6" w:rsidRDefault="005134F6" w:rsidP="00CA3737">
      <w:pPr>
        <w:pStyle w:val="FootnoteText"/>
        <w:jc w:val="both"/>
      </w:pPr>
      <w:r>
        <w:rPr>
          <w:rStyle w:val="FootnoteReference"/>
        </w:rPr>
        <w:footnoteRef/>
      </w:r>
      <w:r>
        <w:t xml:space="preserve"> </w:t>
      </w:r>
      <w:r w:rsidRPr="005134F6">
        <w:rPr>
          <w:rStyle w:val="normaltextrun"/>
          <w:rFonts w:ascii="Gill Sans MT" w:hAnsi="Gill Sans MT"/>
          <w:color w:val="000000"/>
          <w:bdr w:val="none" w:sz="0" w:space="0" w:color="auto" w:frame="1"/>
        </w:rPr>
        <w:t xml:space="preserve">DPhil </w:t>
      </w:r>
      <w:r w:rsidR="008D0664">
        <w:rPr>
          <w:rStyle w:val="normaltextrun"/>
          <w:rFonts w:ascii="Gill Sans MT" w:hAnsi="Gill Sans MT"/>
          <w:color w:val="000000"/>
          <w:bdr w:val="none" w:sz="0" w:space="0" w:color="auto" w:frame="1"/>
        </w:rPr>
        <w:t>candidate</w:t>
      </w:r>
      <w:r w:rsidRPr="005134F6">
        <w:rPr>
          <w:rStyle w:val="normaltextrun"/>
          <w:rFonts w:ascii="Gill Sans MT" w:hAnsi="Gill Sans MT"/>
          <w:color w:val="000000"/>
          <w:bdr w:val="none" w:sz="0" w:space="0" w:color="auto" w:frame="1"/>
        </w:rPr>
        <w:t>, School of Anthropology and Museum Ethnography, University of Oxford. Email:</w:t>
      </w:r>
      <w:r w:rsidRPr="005134F6">
        <w:rPr>
          <w:rFonts w:ascii="Gill Sans MT" w:hAnsi="Gill Sans MT"/>
        </w:rPr>
        <w:t xml:space="preserve"> </w:t>
      </w:r>
      <w:hyperlink r:id="rId1" w:history="1">
        <w:r w:rsidR="00A443D5" w:rsidRPr="00F33130">
          <w:rPr>
            <w:rStyle w:val="Hyperlink"/>
            <w:rFonts w:ascii="Gill Sans MT" w:hAnsi="Gill Sans MT"/>
          </w:rPr>
          <w:t>maxime.bourdier@stx.ox.ac.uk</w:t>
        </w:r>
      </w:hyperlink>
      <w:r w:rsidR="00A443D5">
        <w:rPr>
          <w:rFonts w:ascii="Gill Sans MT" w:hAnsi="Gill Sans M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4827" w14:textId="77777777" w:rsidR="003F1982" w:rsidRDefault="003F1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8C54" w14:textId="5E9AAC8F" w:rsidR="00A443D5" w:rsidRPr="00A443D5" w:rsidRDefault="00A443D5" w:rsidP="00A443D5">
    <w:pPr>
      <w:pStyle w:val="Header"/>
      <w:jc w:val="right"/>
      <w:rPr>
        <w:rFonts w:ascii="Gill Sans MT" w:hAnsi="Gill Sans MT"/>
        <w:i/>
        <w:iCs/>
      </w:rPr>
    </w:pPr>
    <w:r w:rsidRPr="00A443D5">
      <w:rPr>
        <w:rFonts w:ascii="Gill Sans MT" w:hAnsi="Gill Sans MT"/>
        <w:i/>
        <w:iC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E1E0" w14:textId="77777777" w:rsidR="003F1982" w:rsidRDefault="003F19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5D"/>
    <w:rsid w:val="000417E8"/>
    <w:rsid w:val="000E15F5"/>
    <w:rsid w:val="00132298"/>
    <w:rsid w:val="00183369"/>
    <w:rsid w:val="001B4C99"/>
    <w:rsid w:val="002961B6"/>
    <w:rsid w:val="003F1982"/>
    <w:rsid w:val="00447AD7"/>
    <w:rsid w:val="004534CE"/>
    <w:rsid w:val="004738E1"/>
    <w:rsid w:val="004A32B6"/>
    <w:rsid w:val="004C086F"/>
    <w:rsid w:val="005134F6"/>
    <w:rsid w:val="00577C83"/>
    <w:rsid w:val="006C1AF7"/>
    <w:rsid w:val="006E5309"/>
    <w:rsid w:val="00725537"/>
    <w:rsid w:val="0081133E"/>
    <w:rsid w:val="0085180A"/>
    <w:rsid w:val="008C29F7"/>
    <w:rsid w:val="008D0664"/>
    <w:rsid w:val="009B7110"/>
    <w:rsid w:val="009D6141"/>
    <w:rsid w:val="00A443D5"/>
    <w:rsid w:val="00A53258"/>
    <w:rsid w:val="00AB7DDD"/>
    <w:rsid w:val="00B3365D"/>
    <w:rsid w:val="00B73946"/>
    <w:rsid w:val="00CA3737"/>
    <w:rsid w:val="00CB70A0"/>
    <w:rsid w:val="00CE5B11"/>
    <w:rsid w:val="00D06A26"/>
    <w:rsid w:val="00D50785"/>
    <w:rsid w:val="00D73AFA"/>
    <w:rsid w:val="00DC69CC"/>
    <w:rsid w:val="00E458EA"/>
    <w:rsid w:val="00ED56E7"/>
    <w:rsid w:val="00F557FF"/>
    <w:rsid w:val="00F61930"/>
    <w:rsid w:val="01129D0D"/>
    <w:rsid w:val="23DDB1CD"/>
    <w:rsid w:val="47B2BD71"/>
    <w:rsid w:val="6B63ED46"/>
    <w:rsid w:val="790EE7CC"/>
    <w:rsid w:val="7ECDD3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E7DC"/>
  <w15:chartTrackingRefBased/>
  <w15:docId w15:val="{961C4C41-95EA-A940-9278-BC5D027D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Body CS)"/>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6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6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36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36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36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36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36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Heading1"/>
    <w:qFormat/>
    <w:rsid w:val="000417E8"/>
    <w:pPr>
      <w:jc w:val="center"/>
    </w:pPr>
    <w:rPr>
      <w:rFonts w:ascii="Garamond" w:hAnsi="Garamond" w:cs="Times New Roman (Headings CS)"/>
      <w:color w:val="000000" w:themeColor="text1"/>
    </w:rPr>
  </w:style>
  <w:style w:type="character" w:customStyle="1" w:styleId="Heading1Char">
    <w:name w:val="Heading 1 Char"/>
    <w:basedOn w:val="DefaultParagraphFont"/>
    <w:link w:val="Heading1"/>
    <w:uiPriority w:val="9"/>
    <w:rsid w:val="00041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6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6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36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36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6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6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6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6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6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365D"/>
    <w:pPr>
      <w:spacing w:before="160"/>
      <w:jc w:val="center"/>
    </w:pPr>
    <w:rPr>
      <w:i/>
      <w:iCs/>
      <w:color w:val="404040" w:themeColor="text1" w:themeTint="BF"/>
    </w:rPr>
  </w:style>
  <w:style w:type="character" w:customStyle="1" w:styleId="QuoteChar">
    <w:name w:val="Quote Char"/>
    <w:basedOn w:val="DefaultParagraphFont"/>
    <w:link w:val="Quote"/>
    <w:uiPriority w:val="29"/>
    <w:rsid w:val="00B3365D"/>
    <w:rPr>
      <w:i/>
      <w:iCs/>
      <w:color w:val="404040" w:themeColor="text1" w:themeTint="BF"/>
    </w:rPr>
  </w:style>
  <w:style w:type="paragraph" w:styleId="ListParagraph">
    <w:name w:val="List Paragraph"/>
    <w:basedOn w:val="Normal"/>
    <w:uiPriority w:val="34"/>
    <w:qFormat/>
    <w:rsid w:val="00B3365D"/>
    <w:pPr>
      <w:ind w:left="720"/>
      <w:contextualSpacing/>
    </w:pPr>
  </w:style>
  <w:style w:type="character" w:styleId="IntenseEmphasis">
    <w:name w:val="Intense Emphasis"/>
    <w:basedOn w:val="DefaultParagraphFont"/>
    <w:uiPriority w:val="21"/>
    <w:qFormat/>
    <w:rsid w:val="00B3365D"/>
    <w:rPr>
      <w:i/>
      <w:iCs/>
      <w:color w:val="0F4761" w:themeColor="accent1" w:themeShade="BF"/>
    </w:rPr>
  </w:style>
  <w:style w:type="paragraph" w:styleId="IntenseQuote">
    <w:name w:val="Intense Quote"/>
    <w:basedOn w:val="Normal"/>
    <w:next w:val="Normal"/>
    <w:link w:val="IntenseQuoteChar"/>
    <w:uiPriority w:val="30"/>
    <w:qFormat/>
    <w:rsid w:val="00B33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65D"/>
    <w:rPr>
      <w:i/>
      <w:iCs/>
      <w:color w:val="0F4761" w:themeColor="accent1" w:themeShade="BF"/>
    </w:rPr>
  </w:style>
  <w:style w:type="character" w:styleId="IntenseReference">
    <w:name w:val="Intense Reference"/>
    <w:basedOn w:val="DefaultParagraphFont"/>
    <w:uiPriority w:val="32"/>
    <w:qFormat/>
    <w:rsid w:val="00B3365D"/>
    <w:rPr>
      <w:b/>
      <w:bCs/>
      <w:smallCaps/>
      <w:color w:val="0F4761" w:themeColor="accent1" w:themeShade="BF"/>
      <w:spacing w:val="5"/>
    </w:rPr>
  </w:style>
  <w:style w:type="paragraph" w:styleId="NormalWeb">
    <w:name w:val="Normal (Web)"/>
    <w:basedOn w:val="Normal"/>
    <w:uiPriority w:val="99"/>
    <w:semiHidden/>
    <w:unhideWhenUsed/>
    <w:rsid w:val="00B3365D"/>
    <w:pPr>
      <w:spacing w:before="100" w:beforeAutospacing="1" w:after="100" w:afterAutospacing="1" w:line="240" w:lineRule="auto"/>
    </w:pPr>
    <w:rPr>
      <w:rFonts w:eastAsia="Times New Roman" w:cs="Times New Roman"/>
      <w:kern w:val="0"/>
      <w14:ligatures w14:val="none"/>
    </w:rPr>
  </w:style>
  <w:style w:type="paragraph" w:customStyle="1" w:styleId="paragraph">
    <w:name w:val="paragraph"/>
    <w:basedOn w:val="Normal"/>
    <w:rsid w:val="005134F6"/>
    <w:pPr>
      <w:spacing w:before="100" w:beforeAutospacing="1" w:after="100" w:afterAutospacing="1" w:line="240" w:lineRule="auto"/>
    </w:pPr>
    <w:rPr>
      <w:rFonts w:eastAsia="Times New Roman" w:cs="Times New Roman"/>
      <w:kern w:val="0"/>
      <w14:ligatures w14:val="none"/>
    </w:rPr>
  </w:style>
  <w:style w:type="character" w:customStyle="1" w:styleId="normaltextrun">
    <w:name w:val="normaltextrun"/>
    <w:basedOn w:val="DefaultParagraphFont"/>
    <w:rsid w:val="005134F6"/>
  </w:style>
  <w:style w:type="character" w:customStyle="1" w:styleId="eop">
    <w:name w:val="eop"/>
    <w:basedOn w:val="DefaultParagraphFont"/>
    <w:rsid w:val="005134F6"/>
  </w:style>
  <w:style w:type="character" w:customStyle="1" w:styleId="wacimagecontainer">
    <w:name w:val="wacimagecontainer"/>
    <w:basedOn w:val="DefaultParagraphFont"/>
    <w:rsid w:val="005134F6"/>
  </w:style>
  <w:style w:type="paragraph" w:styleId="FootnoteText">
    <w:name w:val="footnote text"/>
    <w:basedOn w:val="Normal"/>
    <w:link w:val="FootnoteTextChar"/>
    <w:uiPriority w:val="99"/>
    <w:semiHidden/>
    <w:unhideWhenUsed/>
    <w:rsid w:val="005134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4F6"/>
    <w:rPr>
      <w:sz w:val="20"/>
      <w:szCs w:val="20"/>
    </w:rPr>
  </w:style>
  <w:style w:type="character" w:styleId="FootnoteReference">
    <w:name w:val="footnote reference"/>
    <w:basedOn w:val="DefaultParagraphFont"/>
    <w:uiPriority w:val="99"/>
    <w:semiHidden/>
    <w:unhideWhenUsed/>
    <w:rsid w:val="005134F6"/>
    <w:rPr>
      <w:vertAlign w:val="superscript"/>
    </w:rPr>
  </w:style>
  <w:style w:type="character" w:styleId="Hyperlink">
    <w:name w:val="Hyperlink"/>
    <w:basedOn w:val="DefaultParagraphFont"/>
    <w:uiPriority w:val="99"/>
    <w:unhideWhenUsed/>
    <w:rsid w:val="00A443D5"/>
    <w:rPr>
      <w:color w:val="467886" w:themeColor="hyperlink"/>
      <w:u w:val="single"/>
    </w:rPr>
  </w:style>
  <w:style w:type="character" w:styleId="UnresolvedMention">
    <w:name w:val="Unresolved Mention"/>
    <w:basedOn w:val="DefaultParagraphFont"/>
    <w:uiPriority w:val="99"/>
    <w:semiHidden/>
    <w:unhideWhenUsed/>
    <w:rsid w:val="00A443D5"/>
    <w:rPr>
      <w:color w:val="605E5C"/>
      <w:shd w:val="clear" w:color="auto" w:fill="E1DFDD"/>
    </w:rPr>
  </w:style>
  <w:style w:type="paragraph" w:styleId="Header">
    <w:name w:val="header"/>
    <w:basedOn w:val="Normal"/>
    <w:link w:val="HeaderChar"/>
    <w:uiPriority w:val="99"/>
    <w:unhideWhenUsed/>
    <w:rsid w:val="00A4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3D5"/>
  </w:style>
  <w:style w:type="paragraph" w:styleId="Footer">
    <w:name w:val="footer"/>
    <w:basedOn w:val="Normal"/>
    <w:link w:val="FooterChar"/>
    <w:uiPriority w:val="99"/>
    <w:unhideWhenUsed/>
    <w:rsid w:val="00A4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0899">
      <w:bodyDiv w:val="1"/>
      <w:marLeft w:val="0"/>
      <w:marRight w:val="0"/>
      <w:marTop w:val="0"/>
      <w:marBottom w:val="0"/>
      <w:divBdr>
        <w:top w:val="none" w:sz="0" w:space="0" w:color="auto"/>
        <w:left w:val="none" w:sz="0" w:space="0" w:color="auto"/>
        <w:bottom w:val="none" w:sz="0" w:space="0" w:color="auto"/>
        <w:right w:val="none" w:sz="0" w:space="0" w:color="auto"/>
      </w:divBdr>
      <w:divsChild>
        <w:div w:id="253325448">
          <w:marLeft w:val="0"/>
          <w:marRight w:val="0"/>
          <w:marTop w:val="0"/>
          <w:marBottom w:val="0"/>
          <w:divBdr>
            <w:top w:val="none" w:sz="0" w:space="0" w:color="auto"/>
            <w:left w:val="none" w:sz="0" w:space="0" w:color="auto"/>
            <w:bottom w:val="none" w:sz="0" w:space="0" w:color="auto"/>
            <w:right w:val="none" w:sz="0" w:space="0" w:color="auto"/>
          </w:divBdr>
          <w:divsChild>
            <w:div w:id="819077560">
              <w:marLeft w:val="0"/>
              <w:marRight w:val="0"/>
              <w:marTop w:val="0"/>
              <w:marBottom w:val="0"/>
              <w:divBdr>
                <w:top w:val="none" w:sz="0" w:space="0" w:color="auto"/>
                <w:left w:val="none" w:sz="0" w:space="0" w:color="auto"/>
                <w:bottom w:val="none" w:sz="0" w:space="0" w:color="auto"/>
                <w:right w:val="none" w:sz="0" w:space="0" w:color="auto"/>
              </w:divBdr>
              <w:divsChild>
                <w:div w:id="10200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6660">
          <w:marLeft w:val="0"/>
          <w:marRight w:val="0"/>
          <w:marTop w:val="0"/>
          <w:marBottom w:val="0"/>
          <w:divBdr>
            <w:top w:val="none" w:sz="0" w:space="0" w:color="auto"/>
            <w:left w:val="none" w:sz="0" w:space="0" w:color="auto"/>
            <w:bottom w:val="none" w:sz="0" w:space="0" w:color="auto"/>
            <w:right w:val="none" w:sz="0" w:space="0" w:color="auto"/>
          </w:divBdr>
          <w:divsChild>
            <w:div w:id="477264798">
              <w:marLeft w:val="0"/>
              <w:marRight w:val="0"/>
              <w:marTop w:val="0"/>
              <w:marBottom w:val="0"/>
              <w:divBdr>
                <w:top w:val="none" w:sz="0" w:space="0" w:color="auto"/>
                <w:left w:val="none" w:sz="0" w:space="0" w:color="auto"/>
                <w:bottom w:val="none" w:sz="0" w:space="0" w:color="auto"/>
                <w:right w:val="none" w:sz="0" w:space="0" w:color="auto"/>
              </w:divBdr>
              <w:divsChild>
                <w:div w:id="10373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10734">
          <w:marLeft w:val="0"/>
          <w:marRight w:val="0"/>
          <w:marTop w:val="0"/>
          <w:marBottom w:val="0"/>
          <w:divBdr>
            <w:top w:val="none" w:sz="0" w:space="0" w:color="auto"/>
            <w:left w:val="none" w:sz="0" w:space="0" w:color="auto"/>
            <w:bottom w:val="none" w:sz="0" w:space="0" w:color="auto"/>
            <w:right w:val="none" w:sz="0" w:space="0" w:color="auto"/>
          </w:divBdr>
          <w:divsChild>
            <w:div w:id="249506917">
              <w:marLeft w:val="0"/>
              <w:marRight w:val="0"/>
              <w:marTop w:val="0"/>
              <w:marBottom w:val="0"/>
              <w:divBdr>
                <w:top w:val="none" w:sz="0" w:space="0" w:color="auto"/>
                <w:left w:val="none" w:sz="0" w:space="0" w:color="auto"/>
                <w:bottom w:val="none" w:sz="0" w:space="0" w:color="auto"/>
                <w:right w:val="none" w:sz="0" w:space="0" w:color="auto"/>
              </w:divBdr>
              <w:divsChild>
                <w:div w:id="1756510916">
                  <w:marLeft w:val="0"/>
                  <w:marRight w:val="0"/>
                  <w:marTop w:val="0"/>
                  <w:marBottom w:val="0"/>
                  <w:divBdr>
                    <w:top w:val="none" w:sz="0" w:space="0" w:color="auto"/>
                    <w:left w:val="none" w:sz="0" w:space="0" w:color="auto"/>
                    <w:bottom w:val="none" w:sz="0" w:space="0" w:color="auto"/>
                    <w:right w:val="none" w:sz="0" w:space="0" w:color="auto"/>
                  </w:divBdr>
                </w:div>
              </w:divsChild>
            </w:div>
            <w:div w:id="1026254356">
              <w:marLeft w:val="0"/>
              <w:marRight w:val="0"/>
              <w:marTop w:val="0"/>
              <w:marBottom w:val="0"/>
              <w:divBdr>
                <w:top w:val="none" w:sz="0" w:space="0" w:color="auto"/>
                <w:left w:val="none" w:sz="0" w:space="0" w:color="auto"/>
                <w:bottom w:val="none" w:sz="0" w:space="0" w:color="auto"/>
                <w:right w:val="none" w:sz="0" w:space="0" w:color="auto"/>
              </w:divBdr>
              <w:divsChild>
                <w:div w:id="7829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88735">
      <w:bodyDiv w:val="1"/>
      <w:marLeft w:val="0"/>
      <w:marRight w:val="0"/>
      <w:marTop w:val="0"/>
      <w:marBottom w:val="0"/>
      <w:divBdr>
        <w:top w:val="none" w:sz="0" w:space="0" w:color="auto"/>
        <w:left w:val="none" w:sz="0" w:space="0" w:color="auto"/>
        <w:bottom w:val="none" w:sz="0" w:space="0" w:color="auto"/>
        <w:right w:val="none" w:sz="0" w:space="0" w:color="auto"/>
      </w:divBdr>
      <w:divsChild>
        <w:div w:id="1279724312">
          <w:marLeft w:val="0"/>
          <w:marRight w:val="0"/>
          <w:marTop w:val="0"/>
          <w:marBottom w:val="0"/>
          <w:divBdr>
            <w:top w:val="none" w:sz="0" w:space="0" w:color="auto"/>
            <w:left w:val="none" w:sz="0" w:space="0" w:color="auto"/>
            <w:bottom w:val="none" w:sz="0" w:space="0" w:color="auto"/>
            <w:right w:val="none" w:sz="0" w:space="0" w:color="auto"/>
          </w:divBdr>
        </w:div>
        <w:div w:id="453332433">
          <w:marLeft w:val="0"/>
          <w:marRight w:val="0"/>
          <w:marTop w:val="0"/>
          <w:marBottom w:val="0"/>
          <w:divBdr>
            <w:top w:val="none" w:sz="0" w:space="0" w:color="auto"/>
            <w:left w:val="none" w:sz="0" w:space="0" w:color="auto"/>
            <w:bottom w:val="none" w:sz="0" w:space="0" w:color="auto"/>
            <w:right w:val="none" w:sz="0" w:space="0" w:color="auto"/>
          </w:divBdr>
        </w:div>
        <w:div w:id="1982416439">
          <w:marLeft w:val="0"/>
          <w:marRight w:val="0"/>
          <w:marTop w:val="0"/>
          <w:marBottom w:val="0"/>
          <w:divBdr>
            <w:top w:val="none" w:sz="0" w:space="0" w:color="auto"/>
            <w:left w:val="none" w:sz="0" w:space="0" w:color="auto"/>
            <w:bottom w:val="none" w:sz="0" w:space="0" w:color="auto"/>
            <w:right w:val="none" w:sz="0" w:space="0" w:color="auto"/>
          </w:divBdr>
        </w:div>
        <w:div w:id="1273709951">
          <w:marLeft w:val="0"/>
          <w:marRight w:val="0"/>
          <w:marTop w:val="0"/>
          <w:marBottom w:val="0"/>
          <w:divBdr>
            <w:top w:val="none" w:sz="0" w:space="0" w:color="auto"/>
            <w:left w:val="none" w:sz="0" w:space="0" w:color="auto"/>
            <w:bottom w:val="none" w:sz="0" w:space="0" w:color="auto"/>
            <w:right w:val="none" w:sz="0" w:space="0" w:color="auto"/>
          </w:divBdr>
        </w:div>
        <w:div w:id="746732565">
          <w:marLeft w:val="0"/>
          <w:marRight w:val="0"/>
          <w:marTop w:val="0"/>
          <w:marBottom w:val="0"/>
          <w:divBdr>
            <w:top w:val="none" w:sz="0" w:space="0" w:color="auto"/>
            <w:left w:val="none" w:sz="0" w:space="0" w:color="auto"/>
            <w:bottom w:val="none" w:sz="0" w:space="0" w:color="auto"/>
            <w:right w:val="none" w:sz="0" w:space="0" w:color="auto"/>
          </w:divBdr>
        </w:div>
        <w:div w:id="2063366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maxime.bourdier@stx.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28E2-6540-6041-9CFA-5792498E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7483</Characters>
  <Application>Microsoft Office Word</Application>
  <DocSecurity>0</DocSecurity>
  <Lines>129</Lines>
  <Paragraphs>21</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Chihab El Khachab</cp:lastModifiedBy>
  <cp:revision>19</cp:revision>
  <dcterms:created xsi:type="dcterms:W3CDTF">2025-12-12T11:35:00Z</dcterms:created>
  <dcterms:modified xsi:type="dcterms:W3CDTF">2026-01-09T16:17:00Z</dcterms:modified>
</cp:coreProperties>
</file>